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GARC-AA-001</w:t>
            </w:r>
          </w:p>
        </w:tc>
      </w:tr>
    </w:tbl>
    <w:p>
      <w:pPr>
        <w:pStyle w:val="Title"/>
      </w:pPr>
      <w:r>
        <w:t>Autism-Inclusive Organization Self-Assessment</w:t>
      </w:r>
    </w:p>
    <w:p>
      <w:r>
        <w:rPr>
          <w:i/>
          <w:color w:val="486581"/>
          <w:sz w:val="23"/>
        </w:rPr>
        <w:t>A structured organizational review across leadership, access, communication, environment, participation and improvement.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Self-Assessment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Organizations, institutions and service leaders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Scoring</w:t>
      </w:r>
    </w:p>
    <w:p>
      <w:pPr>
        <w:spacing w:after="120"/>
      </w:pPr>
      <w:r>
        <w:t>Rate each statement from 0 to 3: 0 = not in place, 1 = early/partial, 2 = established in most areas, 3 = consistently implemented and reviewed. This is an improvement tool, not an accreditation or certification.</w:t>
      </w:r>
    </w:p>
    <w:p>
      <w:pPr>
        <w:pStyle w:val="Heading2"/>
      </w:pPr>
      <w:r>
        <w:t>Leadership &amp; policy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1224"/>
        <w:gridCol w:w="1440"/>
      </w:tblGrid>
      <w:t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Score 0-3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Autism inclusion is reflected in policy or service standards.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A named team/person has responsibility for accessibility.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Autistic people contribute to design, review or governance.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</w:tbl>
    <w:p>
      <w:pPr>
        <w:pStyle w:val="Heading2"/>
      </w:pPr>
      <w:r>
        <w:t>Access &amp; communication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1224"/>
        <w:gridCol w:w="1440"/>
      </w:tblGrid>
      <w:t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Score 0-3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People can request adjustments through a clear route.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Information is available in accessible formats.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Staff use respectful, direct communication and allow processing time.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</w:tbl>
    <w:p>
      <w:pPr>
        <w:pStyle w:val="Heading2"/>
      </w:pPr>
      <w:r>
        <w:t>Environment &amp; sensory access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1224"/>
        <w:gridCol w:w="1440"/>
      </w:tblGrid>
      <w:t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Score 0-3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Sensory barriers are reviewed.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Quiet/low-stimulation options are available where feasible.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Waiting, queueing or transitions can be adapted.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</w:tbl>
    <w:p>
      <w:pPr>
        <w:pStyle w:val="Heading2"/>
      </w:pPr>
      <w:r>
        <w:t>Staff capability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1224"/>
        <w:gridCol w:w="1440"/>
      </w:tblGrid>
      <w:t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Score 0-3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Relevant staff receive practical autism inclusion training.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Staff know escalation and safeguarding routes.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Teams can record and reuse successful adjustments appropriately.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</w:tbl>
    <w:p>
      <w:pPr>
        <w:pStyle w:val="Heading2"/>
      </w:pPr>
      <w:r>
        <w:t>Participation &amp; feedback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1224"/>
        <w:gridCol w:w="1440"/>
      </w:tblGrid>
      <w:t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Score 0-3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Autistic people can provide feedback safely.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Complaints and barriers are tracked.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  <w:tr>
        <w:tc>
          <w:tcPr>
            <w:tcW w:type="dxa" w:w="770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r>
              <w:rPr>
                <w:sz w:val="18"/>
              </w:rPr>
              <w:t>Accessibility improvements are reviewed using data and lived experience.</w:t>
            </w:r>
          </w:p>
        </w:tc>
        <w:tc>
          <w:tcPr>
            <w:tcW w:type="dxa" w:w="1224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rPr>
                <w:sz w:val="18"/>
              </w:rPr>
              <w:t>0 1 2 3</w:t>
            </w:r>
          </w:p>
        </w:tc>
        <w:tc>
          <w:tcPr>
            <w:tcW w:type="dxa" w:w="1440"/>
            <w:tcMar>
              <w:top w:w="110" w:type="dxa"/>
              <w:start w:w="90" w:type="dxa"/>
              <w:bottom w:w="110" w:type="dxa"/>
              <w:end w:w="90" w:type="dxa"/>
            </w:tcMar>
          </w:tcPr>
          <w:p/>
        </w:tc>
      </w:tr>
    </w:tbl>
    <w:p>
      <w:pPr>
        <w:pStyle w:val="Heading1"/>
      </w:pPr>
      <w:r>
        <w:t>Improvement priorities</w:t>
      </w:r>
    </w:p>
    <w:p>
      <w:r>
        <w:rPr>
          <w:b/>
          <w:color w:val="102A43"/>
          <w:sz w:val="18"/>
        </w:rPr>
        <w:t>Priority 1: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Priority 2: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Priority 3: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GARC-AA-001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