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0"/>
        <w:gridCol w:w="2232"/>
      </w:tblGrid>
      <w:tr>
        <w:tc>
          <w:tcPr>
            <w:tcW w:type="dxa" w:w="5227"/>
            <w:shd w:fill="102A43"/>
            <w:tcMar>
              <w:top w:w="100" w:type="dxa"/>
              <w:start w:w="150" w:type="dxa"/>
              <w:bottom w:w="100" w:type="dxa"/>
              <w:end w:w="150" w:type="dxa"/>
            </w:tcMar>
          </w:tcPr>
          <w:p>
            <w:r>
              <w:rPr>
                <w:b/>
                <w:color w:val="FFFFFF"/>
                <w:sz w:val="20"/>
              </w:rPr>
              <w:t>GARC QUICK TOOLS SERIES</w:t>
            </w:r>
          </w:p>
        </w:tc>
        <w:tc>
          <w:tcPr>
            <w:tcW w:type="dxa" w:w="5227"/>
            <w:shd w:fill="C8A45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jc w:val="center"/>
            </w:pPr>
            <w:r>
              <w:rPr>
                <w:b/>
                <w:color w:val="102A43"/>
                <w:sz w:val="22"/>
              </w:rPr>
              <w:t>GARC-AA-002</w:t>
            </w:r>
          </w:p>
        </w:tc>
      </w:tr>
    </w:tbl>
    <w:p>
      <w:pPr>
        <w:pStyle w:val="Title"/>
      </w:pPr>
      <w:r>
        <w:t>Research Participation Accessibility Audit</w:t>
      </w:r>
    </w:p>
    <w:p>
      <w:r>
        <w:rPr>
          <w:i/>
          <w:color w:val="486581"/>
          <w:sz w:val="23"/>
        </w:rPr>
        <w:t>A pre-study audit of recruitment, consent, participation, data and participant experience.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Tool type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Audit</w:t>
            </w:r>
          </w:p>
        </w:tc>
      </w:tr>
      <w:tr>
        <w:tc>
          <w:tcPr>
            <w:tcW w:type="dxa" w:w="5227"/>
            <w:shd w:fill="F3F6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102A43"/>
                <w:sz w:val="18"/>
              </w:rPr>
              <w:t>Primary users</w:t>
            </w:r>
          </w:p>
        </w:tc>
        <w:tc>
          <w:tcPr>
            <w:tcW w:type="dxa" w:w="5227"/>
            <w:shd w:fill="FFFFFF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sz w:val="18"/>
              </w:rPr>
              <w:t>Research teams, universities and partner institutions</w:t>
            </w:r>
          </w:p>
        </w:tc>
      </w:tr>
    </w:tbl>
    <w:p>
      <w:pPr>
        <w:spacing w:before="100" w:after="120"/>
      </w:pPr>
      <w:r>
        <w:rPr>
          <w:b/>
          <w:color w:val="102A43"/>
        </w:rPr>
        <w:t xml:space="preserve">Use note: </w:t>
      </w:r>
      <w:r>
        <w:rPr>
          <w:color w:val="52606D"/>
          <w:sz w:val="17"/>
        </w:rPr>
        <w:t>This is a practical institutional resource. It is not a diagnostic instrument, clinical assessment, or legally sufficient consent/approval document. Adapt to local law, policy, ethics requirements and individual needs.</w:t>
      </w:r>
    </w:p>
    <w:p>
      <w:pPr>
        <w:pStyle w:val="Heading1"/>
      </w:pPr>
      <w:r>
        <w:t>Pre-study accessibility audit</w:t>
      </w:r>
    </w:p>
    <w:p>
      <w:pPr>
        <w:spacing w:after="120"/>
      </w:pPr>
      <w:r>
        <w:t>Complete before recruitment. Actual human-participant research must follow the appropriate ethics/IRB/REC pathway and site/jurisdiction requirements.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6408"/>
        <w:gridCol w:w="2520"/>
      </w:tblGrid>
      <w:tr>
        <w:trPr>
          <w:tblHeader w:val="true"/>
        </w:trPr>
        <w:tc>
          <w:tcPr>
            <w:tcW w:type="dxa" w:w="3485"/>
            <w:shd w:fill="102A43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Status</w:t>
            </w:r>
          </w:p>
        </w:tc>
        <w:tc>
          <w:tcPr>
            <w:tcW w:type="dxa" w:w="3485"/>
            <w:shd w:fill="102A43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Audit item</w:t>
            </w:r>
          </w:p>
        </w:tc>
        <w:tc>
          <w:tcPr>
            <w:tcW w:type="dxa" w:w="3485"/>
            <w:shd w:fill="102A43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Evidence / action</w:t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Participant eligibility criteria are scientifically justified and do not exclude people simply because they use AAC, need support, or communicate differently.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Recruitment materials are understandable and available in suitable formats.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Consent information is accessible and gives enough time for questions and decision-making.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Assent/capacity/support logic is defined where relevant and consistent with applicable law and ethics approval.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Communication and sensory adjustments can be requested before participation.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The study setting, timing and burden have been reviewed with autistic people or appropriate representatives.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Payment and expense arrangements are transparent and not coercive.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Withdrawal procedures are simple and explained clearly.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Data collection is limited to what is necessary for the approved purpose.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Privacy, access, storage, transfer, retention and disposal are documented.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Safeguarding, distress and adverse-event escalation routes are defined as relevant.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Participants are told whether individual findings or overall results will be returned.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The team has a process for recording accessibility issues and corrective actions.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10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color w:val="102A43"/>
                <w:sz w:val="26"/>
              </w:rPr>
              <w:t>☐</w:t>
            </w:r>
          </w:p>
        </w:tc>
        <w:tc>
          <w:tcPr>
            <w:tcW w:type="dxa" w:w="640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  <w:t>Co-production contributors receive appropriate recognition and/or compensation where applicable.</w:t>
            </w:r>
          </w:p>
        </w:tc>
        <w:tc>
          <w:tcPr>
            <w:tcW w:type="dxa" w:w="2520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r>
              <w:rPr>
                <w:sz w:val="18"/>
              </w:rPr>
            </w:r>
          </w:p>
        </w:tc>
      </w:tr>
    </w:tbl>
    <w:p>
      <w:pPr>
        <w:pStyle w:val="Heading1"/>
      </w:pPr>
      <w:r>
        <w:t>Decision</w:t>
      </w:r>
    </w:p>
    <w:p>
      <w:r>
        <w:rPr>
          <w:b/>
          <w:color w:val="102A43"/>
          <w:sz w:val="18"/>
        </w:rPr>
        <w:t>Ready to recruit?  Yes / No / Conditional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Conditions or unresolved actions: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p>
      <w:r>
        <w:rPr>
          <w:b/>
          <w:color w:val="102A43"/>
          <w:sz w:val="18"/>
        </w:rPr>
        <w:t>Responsible person and due date:</w:t>
      </w:r>
    </w:p>
    <w:p>
      <w:pPr>
        <w:spacing w:after="40"/>
      </w:pPr>
      <w:r>
        <w:rPr>
          <w:color w:val="A0AEC0"/>
          <w:sz w:val="16"/>
        </w:rP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835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D7E"/>
        <w:sz w:val="15"/>
      </w:rPr>
      <w:t>GARC-AA-002  |  Edition 1.0 - 2026  |  globalautismresearch.org.uk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color w:val="102A43"/>
        <w:sz w:val="17"/>
      </w:rPr>
      <w:t>GARC  |  GLOBAL AUTISM RESEARCH CENTER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02A4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102A4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140"/>
      <w:contextualSpacing/>
    </w:pPr>
    <w:rPr>
      <w:rFonts w:asciiTheme="majorHAnsi" w:eastAsiaTheme="majorEastAsia" w:hAnsiTheme="majorHAnsi" w:cstheme="majorBidi" w:ascii="Aptos" w:hAnsi="Aptos"/>
      <w:b/>
      <w:color w:val="102A4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