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GARC-QC-004</w:t>
            </w:r>
          </w:p>
        </w:tc>
      </w:tr>
    </w:tbl>
    <w:p>
      <w:pPr>
        <w:pStyle w:val="Title"/>
      </w:pPr>
      <w:r>
        <w:t>Healthcare Visit Preparation Checklist</w:t>
      </w:r>
    </w:p>
    <w:p>
      <w:r>
        <w:rPr>
          <w:i/>
          <w:color w:val="486581"/>
          <w:sz w:val="23"/>
        </w:rPr>
        <w:t>A pre-visit tool to improve predictability, communication and access.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Checklist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Autistic people, families, clinicians, nurses and healthcare teams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Quick Checklist</w:t>
      </w:r>
    </w:p>
    <w:p>
      <w:pPr>
        <w:spacing w:after="120"/>
      </w:pPr>
      <w:r>
        <w:t>Tick each item that is currently in place. Use the final column to record a specific action, owner or date where improvement is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408"/>
        <w:gridCol w:w="2520"/>
      </w:tblGrid>
      <w:tr>
        <w:trPr>
          <w:tblHeader w:val="true"/>
        </w:trPr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 / action</w:t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Preferred communication method is known.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Important sensory triggers and useful adjustments are recorded.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person knows why they are attending and what may happen.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Expected duration, waiting process and likely sequence are explained.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Essential procedures are distinguished from optional or deferrable steps.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 supporter is involved only as requested or clinically appropriate.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Medication, allergies and relevant medical information are available.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Known signs of pain, distress or overload are documented.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 stop/pause signal has been agreed where appropriate.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Waiting alternatives have been considered.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Discharge or follow-up instructions will be provided in an accessible format.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Any urgent or new symptoms will be assessed on clinical merits rather than attributed automatically to autism.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Priority actions</w:t>
      </w:r>
    </w:p>
    <w:p>
      <w:r>
        <w:rPr>
          <w:b/>
          <w:color w:val="102A43"/>
          <w:sz w:val="18"/>
        </w:rPr>
        <w:t>1. Highest-priority change: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2. Responsible person / team: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3. Target date: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GARC-QC-004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