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GARC-QC-005</w:t>
            </w:r>
          </w:p>
        </w:tc>
      </w:tr>
    </w:tbl>
    <w:p>
      <w:pPr>
        <w:pStyle w:val="Title"/>
      </w:pPr>
      <w:r>
        <w:t>Transition to Adulthood Planning Checklist</w:t>
      </w:r>
    </w:p>
    <w:p>
      <w:r>
        <w:rPr>
          <w:i/>
          <w:color w:val="486581"/>
          <w:sz w:val="23"/>
        </w:rPr>
        <w:t>A cross-sector planning checklist for the move from adolescence to adult life.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Checklist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Autistic young people, families, schools, universities and service teams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Quick Checklist</w:t>
      </w:r>
    </w:p>
    <w:p>
      <w:pPr>
        <w:spacing w:after="120"/>
      </w:pPr>
      <w:r>
        <w:t>Tick each item that is currently in place. Use the final column to record a specific action, owner or date where improvement is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6408"/>
        <w:gridCol w:w="2520"/>
      </w:tblGrid>
      <w:tr>
        <w:trPr>
          <w:tblHeader w:val="true"/>
        </w:trPr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Check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Notes / action</w:t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 young person’s own goals and preferences are documented.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Planning begins early enough to avoid last-minute service gaps.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Education, training or employment goals are reviewed.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Daily living and housing support needs are explored without assuming one model fits everyone.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Adult healthcare transition has a named pathway or responsible contact.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Mental health and wellbeing supports are identified.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Communication, sensory and decision-support needs are documented.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Transport and community mobility are considered.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Money, benefits, banking and financial safeguards are discussed as relevant.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Legal rights, consent, capacity and supported decision-making are addressed according to local law.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Social relationships, safety and digital participation are included.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Family/supporter roles are reviewed as adulthood changes privacy and decision rights.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 written handover is prepared for new services.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 plan includes dates, responsible people and follow-up points.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Priority actions</w:t>
      </w:r>
    </w:p>
    <w:p>
      <w:r>
        <w:rPr>
          <w:b/>
          <w:color w:val="102A43"/>
          <w:sz w:val="18"/>
        </w:rPr>
        <w:t>1. Highest-priority change: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2. Responsible person / team: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3. Target date: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GARC-QC-005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