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0"/>
        <w:gridCol w:w="2232"/>
      </w:tblGrid>
      <w:tr>
        <w:tc>
          <w:tcPr>
            <w:tcW w:type="dxa" w:w="5227"/>
            <w:shd w:fill="102A43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r>
              <w:rPr>
                <w:b/>
                <w:color w:val="FFFFFF"/>
                <w:sz w:val="20"/>
              </w:rPr>
              <w:t>GARC QUICK TOOLS SERIES</w:t>
            </w:r>
          </w:p>
        </w:tc>
        <w:tc>
          <w:tcPr>
            <w:tcW w:type="dxa" w:w="5227"/>
            <w:shd w:fill="C8A45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102A43"/>
                <w:sz w:val="22"/>
              </w:rPr>
              <w:t>GARC-QC-006</w:t>
            </w:r>
          </w:p>
        </w:tc>
      </w:tr>
    </w:tbl>
    <w:p>
      <w:pPr>
        <w:pStyle w:val="Title"/>
      </w:pPr>
      <w:r>
        <w:t>Community &amp; Event Inclusion Checklist</w:t>
      </w:r>
    </w:p>
    <w:p>
      <w:r>
        <w:rPr>
          <w:i/>
          <w:color w:val="486581"/>
          <w:sz w:val="23"/>
        </w:rPr>
        <w:t>A rapid accessibility check for public events, venues and community activities.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227"/>
            <w:shd w:fill="F3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02A43"/>
                <w:sz w:val="18"/>
              </w:rPr>
              <w:t>Tool type</w:t>
            </w:r>
          </w:p>
        </w:tc>
        <w:tc>
          <w:tcPr>
            <w:tcW w:type="dxa" w:w="5227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Checklist</w:t>
            </w:r>
          </w:p>
        </w:tc>
      </w:tr>
      <w:tr>
        <w:tc>
          <w:tcPr>
            <w:tcW w:type="dxa" w:w="5227"/>
            <w:shd w:fill="F3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02A43"/>
                <w:sz w:val="18"/>
              </w:rPr>
              <w:t>Primary users</w:t>
            </w:r>
          </w:p>
        </w:tc>
        <w:tc>
          <w:tcPr>
            <w:tcW w:type="dxa" w:w="5227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Event organizers, municipalities, cultural venues, sports and community organizations</w:t>
            </w:r>
          </w:p>
        </w:tc>
      </w:tr>
    </w:tbl>
    <w:p>
      <w:pPr>
        <w:spacing w:before="100" w:after="120"/>
      </w:pPr>
      <w:r>
        <w:rPr>
          <w:b/>
          <w:color w:val="102A43"/>
        </w:rPr>
        <w:t xml:space="preserve">Use note: </w:t>
      </w:r>
      <w:r>
        <w:rPr>
          <w:color w:val="52606D"/>
          <w:sz w:val="17"/>
        </w:rPr>
        <w:t>This is a practical institutional resource. It is not a diagnostic instrument, clinical assessment, or legally sufficient consent/approval document. Adapt to local law, policy, ethics requirements and individual needs.</w:t>
      </w:r>
    </w:p>
    <w:p>
      <w:pPr>
        <w:pStyle w:val="Heading1"/>
      </w:pPr>
      <w:r>
        <w:t>Quick Checklist</w:t>
      </w:r>
    </w:p>
    <w:p>
      <w:pPr>
        <w:spacing w:after="120"/>
      </w:pPr>
      <w:r>
        <w:t>Tick each item that is currently in place. Use the final column to record a specific action, owner or date where improvement is needed.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6408"/>
        <w:gridCol w:w="2520"/>
      </w:tblGrid>
      <w:tr>
        <w:trPr>
          <w:tblHeader w:val="true"/>
        </w:trPr>
        <w:tc>
          <w:tcPr>
            <w:tcW w:type="dxa" w:w="3485"/>
            <w:shd w:fill="102A43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Check</w:t>
            </w:r>
          </w:p>
        </w:tc>
        <w:tc>
          <w:tcPr>
            <w:tcW w:type="dxa" w:w="3485"/>
            <w:shd w:fill="102A43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3485"/>
            <w:shd w:fill="102A43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Notes / action</w:t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Pre-event information explains location, schedule, access, noise, crowds and what to expect.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Registration allows participants to request adjustments.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A quiet or lower-stimulation area is available where feasible.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Queueing and entry alternatives are considered.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Signage and wayfinding are clear and consistent.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Staff/volunteers receive a short autism inclusion briefing.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People may leave and re-enter when operationally possible.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Communication is available in more than one format.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Lighting, sound, announcements and special effects are described in advance.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Accessible toilets, seating and transport information are provided.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There is a clear contact point for assistance or concerns.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Post-event feedback asks about accessibility barriers and improvements.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</w:tbl>
    <w:p>
      <w:pPr>
        <w:pStyle w:val="Heading1"/>
      </w:pPr>
      <w:r>
        <w:t>Priority actions</w:t>
      </w:r>
    </w:p>
    <w:p>
      <w:r>
        <w:rPr>
          <w:b/>
          <w:color w:val="102A43"/>
          <w:sz w:val="18"/>
        </w:rPr>
        <w:t>1. Highest-priority change: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2. Responsible person / team: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3. Target date: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D7E"/>
        <w:sz w:val="15"/>
      </w:rPr>
      <w:t>GARC-QC-006  |  Edition 1.0 - 2026  |  globalautismresearch.org.uk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b/>
        <w:color w:val="102A43"/>
        <w:sz w:val="17"/>
      </w:rPr>
      <w:t>GARC  |  GLOBAL AUTISM RESEARCH CENTER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02A4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102A4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140"/>
      <w:contextualSpacing/>
    </w:pPr>
    <w:rPr>
      <w:rFonts w:asciiTheme="majorHAnsi" w:eastAsiaTheme="majorEastAsia" w:hAnsiTheme="majorHAnsi" w:cstheme="majorBidi" w:ascii="Aptos" w:hAnsi="Aptos"/>
      <w:b/>
      <w:color w:val="102A43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