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GARC-SQ-002</w:t>
            </w:r>
          </w:p>
        </w:tc>
      </w:tr>
    </w:tbl>
    <w:p>
      <w:pPr>
        <w:pStyle w:val="Title"/>
      </w:pPr>
      <w:r>
        <w:t>Family &amp; Caregiver Needs Survey</w:t>
      </w:r>
    </w:p>
    <w:p>
      <w:r>
        <w:rPr>
          <w:i/>
          <w:color w:val="486581"/>
          <w:sz w:val="23"/>
        </w:rPr>
        <w:t>A short needs-assessment tool for understanding priorities without replacing the autistic person’s own voice.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Survey / Questionnaire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Families and caregivers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How to use</w:t>
      </w:r>
    </w:p>
    <w:p>
      <w:pPr>
        <w:spacing w:after="120"/>
      </w:pPr>
      <w:r>
        <w:t>This short questionnaire can be offered on paper, digitally or verbally. Participation should be voluntary. Do not describe scores as diagnostic or clinically validated.</w:t>
      </w:r>
    </w:p>
    <w:p>
      <w:r>
        <w:rPr>
          <w:b/>
          <w:sz w:val="18"/>
        </w:rPr>
        <w:t xml:space="preserve">Suggested scale: </w:t>
      </w:r>
      <w:r>
        <w:rPr>
          <w:sz w:val="17"/>
        </w:rPr>
        <w:t>1 = Strongly disagree / very poor   2 = Disagree   3 = Neutral   4 = Agree   5 = Strongly agree / excellent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7848"/>
        <w:gridCol w:w="1728"/>
      </w:tblGrid>
      <w:tr>
        <w:trPr>
          <w:tblHeader w:val="true"/>
        </w:trP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Rating 1-5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can access clear information about autism and available supports.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who to contact when I need guidance.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Services communicate with our family in an understandable way.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autistic person’s preferences are included in planning.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Transitions between services are coordinated.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We can access appropriate education or training support.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We can access appropriate health and wellbeing support.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We can access community and participation opportunities.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We receive enough information about rights, services and practical next steps.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Our family is able to provide feedback and raise concerns safely.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</w:tbl>
    <w:p>
      <w:pPr>
        <w:pStyle w:val="Heading1"/>
      </w:pPr>
      <w:r>
        <w:t>Open feedback</w:t>
      </w:r>
    </w:p>
    <w:p>
      <w:r>
        <w:rPr>
          <w:b/>
          <w:color w:val="102A43"/>
          <w:sz w:val="18"/>
        </w:rPr>
        <w:t>What are your three highest-priority needs right now?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Which services or supports are hardest to access?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information or resource would be most useful from GARC or partner organizations?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sz w:val="18"/>
        </w:rPr>
        <w:t xml:space="preserve">Optional demographics: </w:t>
      </w:r>
      <w:r>
        <w:rPr>
          <w:sz w:val="17"/>
        </w:rPr>
        <w:t>Collect only information that is necessary for the stated purpose and permitted under applicable privacy/data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GARC-SQ-002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