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792"/>
      </w:tblGrid>
      <w:tr>
        <w:tc>
          <w:tcPr>
            <w:tcW w:type="dxa" w:w="9792"/>
            <w:shd w:fill="0B2D4D"/>
            <w:tcMar>
              <w:top w:w="240" w:type="dxa"/>
              <w:start w:w="250" w:type="dxa"/>
              <w:bottom w:w="240" w:type="dxa"/>
              <w:end w:w="250" w:type="dxa"/>
            </w:tcMar>
          </w:tcPr>
          <w:p>
            <w:pPr>
              <w:jc w:val="left"/>
            </w:pPr>
            <w:r>
              <w:rPr>
                <w:rFonts w:ascii="Liberation Sans" w:hAnsi="Liberation Sans" w:cs="Liberation Sans" w:eastAsia="Liberation Sans"/>
                <w:b/>
                <w:color w:val="FFFFFF"/>
                <w:sz w:val="24"/>
              </w:rPr>
              <w:t>GARC  |  GLOBAL AUTISM RESEARCH CENTER</w:t>
            </w:r>
          </w:p>
        </w:tc>
      </w:tr>
    </w:tbl>
    <w:p/>
    <w:p/>
    <w:p/>
    <w:p>
      <w:pPr>
        <w:spacing w:after="240"/>
        <w:jc w:val="left"/>
      </w:pPr>
      <w:r>
        <w:rPr>
          <w:rFonts w:ascii="Liberation Sans" w:hAnsi="Liberation Sans" w:cs="Liberation Sans" w:eastAsia="Liberation Sans"/>
          <w:b/>
          <w:color w:val="0B2D4D"/>
          <w:sz w:val="52"/>
        </w:rPr>
        <w:t>GARC AUTISM RESEARCH AGENDA 2027–2030</w:t>
      </w:r>
    </w:p>
    <w:p>
      <w:pPr>
        <w:spacing w:after="400"/>
        <w:jc w:val="left"/>
        <w:pBdr>
          <w:bottom w:val="single" w:sz="20" w:space="4" w:color="C5A35B"/>
        </w:pBdr>
      </w:pPr>
      <w:r>
        <w:rPr>
          <w:rFonts w:ascii="Liberation Sans" w:hAnsi="Liberation Sans" w:cs="Liberation Sans" w:eastAsia="Liberation Sans"/>
          <w:b w:val="0"/>
          <w:color w:val="C5A35B"/>
          <w:sz w:val="30"/>
        </w:rPr>
        <w:t>Advancing Evidence, Systems and Outcomes Across the Autism Life Course</w:t>
      </w:r>
    </w:p>
    <w:p>
      <w:pPr>
        <w:jc w:val="left"/>
      </w:pPr>
      <w:r>
        <w:rPr>
          <w:rFonts w:ascii="Liberation Sans" w:hAnsi="Liberation Sans" w:cs="Liberation Sans" w:eastAsia="Liberation Sans"/>
          <w:b/>
          <w:color w:val="0B2D4D"/>
          <w:sz w:val="24"/>
        </w:rPr>
        <w:t>Global Autism Research Center (GARC)</w:t>
      </w:r>
    </w:p>
    <w:p>
      <w:pPr>
        <w:jc w:val="left"/>
      </w:pPr>
      <w:r>
        <w:rPr>
          <w:rFonts w:ascii="Liberation Sans" w:hAnsi="Liberation Sans" w:cs="Liberation Sans" w:eastAsia="Liberation Sans"/>
          <w:b w:val="0"/>
          <w:color w:val="6B7280"/>
          <w:sz w:val="23"/>
        </w:rPr>
        <w:t xml:space="preserve">Operating within </w:t>
      </w:r>
      <w:r>
        <w:rPr>
          <w:rFonts w:ascii="Liberation Sans" w:hAnsi="Liberation Sans" w:cs="Liberation Sans" w:eastAsia="Liberation Sans"/>
          <w:b/>
          <w:color w:val="6B7280"/>
          <w:sz w:val="23"/>
        </w:rPr>
        <w:t>Global Research &amp; Strategy Group (GRS Group)</w:t>
      </w:r>
    </w:p>
    <w:tbl>
      <w:tblPr>
        <w:tblW w:type="auto" w:w="0"/>
        <w:jc w:val="left"/>
        <w:tblLook w:firstColumn="1" w:firstRow="1" w:lastColumn="0" w:lastRow="0" w:noHBand="0" w:noVBand="1" w:val="04A0"/>
      </w:tblPr>
      <w:tblGrid>
        <w:gridCol w:w="9792"/>
      </w:tblGrid>
      <w:tr>
        <w:tc>
          <w:tcPr>
            <w:tcW w:type="dxa" w:w="9792"/>
            <w:shd w:fill="EAF1F6"/>
            <w:tcMar>
              <w:top w:w="90" w:type="dxa"/>
              <w:start w:w="130" w:type="dxa"/>
              <w:bottom w:w="90" w:type="dxa"/>
              <w:end w:w="130" w:type="dxa"/>
            </w:tcMar>
          </w:tcPr>
          <w:p>
            <w:pPr>
              <w:jc w:val="left"/>
            </w:pPr>
            <w:r>
              <w:rPr>
                <w:rFonts w:ascii="Liberation Sans" w:hAnsi="Liberation Sans" w:cs="Liberation Sans" w:eastAsia="Liberation Sans"/>
                <w:b/>
                <w:color w:val="1F2937"/>
                <w:sz w:val="19"/>
              </w:rPr>
              <w:t>Institutional Version:</w:t>
            </w:r>
            <w:r>
              <w:rPr>
                <w:rFonts w:ascii="Liberation Sans" w:hAnsi="Liberation Sans" w:cs="Liberation Sans" w:eastAsia="Liberation Sans"/>
                <w:b w:val="0"/>
                <w:color w:val="1F2937"/>
                <w:sz w:val="19"/>
              </w:rPr>
              <w:t xml:space="preserve"> 1.0</w:t>
            </w:r>
          </w:p>
        </w:tc>
      </w:tr>
    </w:tbl>
    <w:tbl>
      <w:tblPr>
        <w:tblW w:type="auto" w:w="0"/>
        <w:jc w:val="left"/>
        <w:tblLook w:firstColumn="1" w:firstRow="1" w:lastColumn="0" w:lastRow="0" w:noHBand="0" w:noVBand="1" w:val="04A0"/>
      </w:tblPr>
      <w:tblGrid>
        <w:gridCol w:w="9792"/>
      </w:tblGrid>
      <w:tr>
        <w:tc>
          <w:tcPr>
            <w:tcW w:type="dxa" w:w="9792"/>
            <w:shd w:fill="EAF1F6"/>
            <w:tcMar>
              <w:top w:w="90" w:type="dxa"/>
              <w:start w:w="130" w:type="dxa"/>
              <w:bottom w:w="90" w:type="dxa"/>
              <w:end w:w="130" w:type="dxa"/>
            </w:tcMar>
          </w:tcPr>
          <w:p>
            <w:pPr>
              <w:jc w:val="left"/>
            </w:pPr>
            <w:r>
              <w:rPr>
                <w:rFonts w:ascii="Liberation Sans" w:hAnsi="Liberation Sans" w:cs="Liberation Sans" w:eastAsia="Liberation Sans"/>
                <w:b/>
                <w:color w:val="1F2937"/>
                <w:sz w:val="19"/>
              </w:rPr>
              <w:t>Agenda Period:</w:t>
            </w:r>
            <w:r>
              <w:rPr>
                <w:rFonts w:ascii="Liberation Sans" w:hAnsi="Liberation Sans" w:cs="Liberation Sans" w:eastAsia="Liberation Sans"/>
                <w:b w:val="0"/>
                <w:color w:val="1F2937"/>
                <w:sz w:val="19"/>
              </w:rPr>
              <w:t xml:space="preserve"> 2027–2030</w:t>
            </w:r>
          </w:p>
        </w:tc>
      </w:tr>
    </w:tbl>
    <w:tbl>
      <w:tblPr>
        <w:tblW w:type="auto" w:w="0"/>
        <w:jc w:val="left"/>
        <w:tblLook w:firstColumn="1" w:firstRow="1" w:lastColumn="0" w:lastRow="0" w:noHBand="0" w:noVBand="1" w:val="04A0"/>
      </w:tblPr>
      <w:tblGrid>
        <w:gridCol w:w="9792"/>
      </w:tblGrid>
      <w:tr>
        <w:tc>
          <w:tcPr>
            <w:tcW w:type="dxa" w:w="9792"/>
            <w:shd w:fill="EAF1F6"/>
            <w:tcMar>
              <w:top w:w="90" w:type="dxa"/>
              <w:start w:w="130" w:type="dxa"/>
              <w:bottom w:w="90" w:type="dxa"/>
              <w:end w:w="130" w:type="dxa"/>
            </w:tcMar>
          </w:tcPr>
          <w:p>
            <w:pPr>
              <w:jc w:val="left"/>
            </w:pPr>
            <w:r>
              <w:rPr>
                <w:rFonts w:ascii="Liberation Sans" w:hAnsi="Liberation Sans" w:cs="Liberation Sans" w:eastAsia="Liberation Sans"/>
                <w:b/>
                <w:color w:val="1F2937"/>
                <w:sz w:val="19"/>
              </w:rPr>
              <w:t>Status:</w:t>
            </w:r>
            <w:r>
              <w:rPr>
                <w:rFonts w:ascii="Liberation Sans" w:hAnsi="Liberation Sans" w:cs="Liberation Sans" w:eastAsia="Liberation Sans"/>
                <w:b w:val="0"/>
                <w:color w:val="1F2937"/>
                <w:sz w:val="19"/>
              </w:rPr>
              <w:t xml:space="preserve"> Final Institutional Version</w:t>
            </w:r>
          </w:p>
        </w:tc>
      </w:tr>
    </w:tbl>
    <w:tbl>
      <w:tblPr>
        <w:tblW w:type="auto" w:w="0"/>
        <w:jc w:val="left"/>
        <w:tblLook w:firstColumn="1" w:firstRow="1" w:lastColumn="0" w:lastRow="0" w:noHBand="0" w:noVBand="1" w:val="04A0"/>
      </w:tblPr>
      <w:tblGrid>
        <w:gridCol w:w="9792"/>
      </w:tblGrid>
      <w:tr>
        <w:tc>
          <w:tcPr>
            <w:tcW w:type="dxa" w:w="9792"/>
            <w:shd w:fill="EAF1F6"/>
            <w:tcMar>
              <w:top w:w="90" w:type="dxa"/>
              <w:start w:w="130" w:type="dxa"/>
              <w:bottom w:w="90" w:type="dxa"/>
              <w:end w:w="130" w:type="dxa"/>
            </w:tcMar>
          </w:tcPr>
          <w:p>
            <w:pPr>
              <w:jc w:val="left"/>
            </w:pPr>
            <w:r>
              <w:rPr>
                <w:rFonts w:ascii="Liberation Sans" w:hAnsi="Liberation Sans" w:cs="Liberation Sans" w:eastAsia="Liberation Sans"/>
                <w:b/>
                <w:color w:val="1F2937"/>
                <w:sz w:val="19"/>
              </w:rPr>
              <w:t>Review Cycle:</w:t>
            </w:r>
            <w:r>
              <w:rPr>
                <w:rFonts w:ascii="Liberation Sans" w:hAnsi="Liberation Sans" w:cs="Liberation Sans" w:eastAsia="Liberation Sans"/>
                <w:b w:val="0"/>
                <w:color w:val="1F2937"/>
                <w:sz w:val="19"/>
              </w:rPr>
              <w:t xml:space="preserve"> Annual review, with a formal mid-cycle review in 2028</w:t>
            </w:r>
          </w:p>
        </w:tc>
      </w:tr>
    </w:tbl>
    <w:tbl>
      <w:tblPr>
        <w:tblW w:type="auto" w:w="0"/>
        <w:jc w:val="left"/>
        <w:tblLook w:firstColumn="1" w:firstRow="1" w:lastColumn="0" w:lastRow="0" w:noHBand="0" w:noVBand="1" w:val="04A0"/>
      </w:tblPr>
      <w:tblGrid>
        <w:gridCol w:w="9792"/>
      </w:tblGrid>
      <w:tr>
        <w:tc>
          <w:tcPr>
            <w:tcW w:type="dxa" w:w="9792"/>
            <w:shd w:fill="EAF1F6"/>
            <w:tcMar>
              <w:top w:w="90" w:type="dxa"/>
              <w:start w:w="130" w:type="dxa"/>
              <w:bottom w:w="90" w:type="dxa"/>
              <w:end w:w="130" w:type="dxa"/>
            </w:tcMar>
          </w:tcPr>
          <w:p>
            <w:pPr>
              <w:jc w:val="left"/>
            </w:pPr>
            <w:r>
              <w:rPr>
                <w:rFonts w:ascii="Liberation Sans" w:hAnsi="Liberation Sans" w:cs="Liberation Sans" w:eastAsia="Liberation Sans"/>
                <w:b/>
                <w:color w:val="1F2937"/>
                <w:sz w:val="19"/>
              </w:rPr>
              <w:t>Institutional Positioning:</w:t>
            </w:r>
            <w:r>
              <w:rPr>
                <w:rFonts w:ascii="Liberation Sans" w:hAnsi="Liberation Sans" w:cs="Liberation Sans" w:eastAsia="Liberation Sans"/>
                <w:b w:val="0"/>
                <w:color w:val="1F2937"/>
                <w:sz w:val="19"/>
              </w:rPr>
              <w:t xml:space="preserve"> Research • Data • Policy • AI • Institutional Impact</w:t>
            </w:r>
          </w:p>
        </w:tc>
      </w:tr>
    </w:tbl>
    <w:p/>
    <w:p>
      <w:pPr>
        <w:jc w:val="left"/>
      </w:pPr>
      <w:r>
        <w:rPr>
          <w:rFonts w:ascii="Liberation Sans" w:hAnsi="Liberation Sans" w:cs="Liberation Sans" w:eastAsia="Liberation Sans"/>
          <w:b/>
          <w:color w:val="6B7280"/>
          <w:sz w:val="18"/>
        </w:rPr>
        <w:t>FINAL INSTITUTIONAL VERSION • v1.0</w:t>
      </w:r>
    </w:p>
    <w:p>
      <w:r>
        <w:br w:type="page"/>
      </w:r>
    </w:p>
    <w:p>
      <w:pPr>
        <w:pStyle w:val="Heading1"/>
        <w:jc w:val="left"/>
        <w:pBdr>
          <w:bottom w:val="single" w:sz="18" w:space="4" w:color="C5A35B"/>
        </w:pBdr>
      </w:pPr>
      <w:r>
        <w:rPr>
          <w:rFonts w:ascii="Liberation Sans" w:hAnsi="Liberation Sans" w:cs="Liberation Sans" w:eastAsia="Liberation Sans"/>
          <w:b/>
          <w:color w:val="0B2D4D"/>
          <w:sz w:val="36"/>
        </w:rPr>
        <w:t>CONTENTS</w:t>
      </w:r>
    </w:p>
    <w:tbl>
      <w:tblPr>
        <w:tblW w:type="auto" w:w="0"/>
        <w:jc w:val="center"/>
        <w:tblLayout w:type="fixed"/>
        <w:tblLook w:firstColumn="1" w:firstRow="1" w:lastColumn="0" w:lastRow="0" w:noHBand="0" w:noVBand="1" w:val="04A0"/>
      </w:tblPr>
      <w:tblGrid>
        <w:gridCol w:w="4896"/>
        <w:gridCol w:w="4896"/>
      </w:tblGrid>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 Executive Summary</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16. Research Portfolio Architecture</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 Institutional Purpose of the Research Agenda</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17. From Research to Institutional Impact</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3. Strategic Research Thesis</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18. Stakeholder and Lived-Experience Participation</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4. Scope of the Agenda</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19. Scientific Governance Principles</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5. Defined Research Boundary</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20. Institutional Ownership: GRS Group vs GARC</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6. Geographic Orientation</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21. Research Infrastructure Supporting the Agenda</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7. Research Domain 1 — Epidemiology, Evidence &amp; Autism Research Systems</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22. Publication and Dissemination</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8. Research Domain 2 — Identification, Assessment &amp; Personalised Support</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23. Research Quality Framework</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9. Research Domain 3 — Health, Wellbeing &amp; Co-occurring Conditions</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24. 2027–2030 Strategic Phasing</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10. Research Domain 4 — Education, Inclusion &amp; Life Transitions</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25. Research Performance and Impact Framework</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11. Research Domain 5 — Families, Communities &amp; Quality of Life</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26. Agenda Review and Change Control</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12. Research Domain 6 — Services, Policy, Workforce &amp; System Performance</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27. Evidence Basis for the Agenda</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13. Research Domain 7 — Data, Digital Technologies &amp; Responsible AI</w:t>
            </w:r>
          </w:p>
        </w:tc>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28. Institutional Commitment</w:t>
            </w:r>
          </w:p>
        </w:tc>
      </w:tr>
      <w:tr>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14. Cross-Cutting Research Principles</w:t>
            </w:r>
          </w:p>
        </w:tc>
        <w:tc>
          <w:tcPr>
            <w:tcW w:type="dxa" w:w="4392"/>
            <w:vAlign w:val="center"/>
            <w:tcMar>
              <w:top w:w="100" w:type="dxa"/>
              <w:start w:w="100" w:type="dxa"/>
              <w:bottom w:w="100" w:type="dxa"/>
              <w:end w:w="100" w:type="dxa"/>
            </w:tcMar>
          </w:tcPr>
          <w:p>
            <w:pPr>
              <w:jc w:val="left"/>
            </w:pPr>
            <w:r>
              <w:rPr>
                <w:rFonts w:ascii="Liberation Sans" w:hAnsi="Liberation Sans" w:cs="Liberation Sans" w:eastAsia="Liberation Sans"/>
                <w:b w:val="0"/>
                <w:color w:val="1F2937"/>
                <w:sz w:val="18"/>
              </w:rPr>
              <w:t>29. Final Strategic Statement</w:t>
            </w:r>
          </w:p>
        </w:tc>
      </w:tr>
      <w:tr>
        <w:tc>
          <w:tcPr>
            <w:tcW w:type="dxa" w:w="4392"/>
            <w:vAlign w:val="center"/>
            <w:tcMar>
              <w:top w:w="100" w:type="dxa"/>
              <w:start w:w="100" w:type="dxa"/>
              <w:bottom w:w="100" w:type="dxa"/>
              <w:end w:w="100" w:type="dxa"/>
            </w:tcMar>
            <w:shd w:fill="F8FAFC"/>
          </w:tcPr>
          <w:p>
            <w:pPr>
              <w:jc w:val="left"/>
            </w:pPr>
            <w:r>
              <w:rPr>
                <w:rFonts w:ascii="Liberation Sans" w:hAnsi="Liberation Sans" w:cs="Liberation Sans" w:eastAsia="Liberation Sans"/>
                <w:b w:val="0"/>
                <w:color w:val="1F2937"/>
                <w:sz w:val="18"/>
              </w:rPr>
              <w:t>15. Research Priority-Setting Methodology</w:t>
            </w:r>
          </w:p>
        </w:tc>
        <w:tc>
          <w:tcPr>
            <w:tcW w:type="dxa" w:w="4896"/>
          </w:tcPr>
          <w:p/>
        </w:tc>
      </w:tr>
    </w:tbl>
    <w:p>
      <w:r>
        <w:br w:type="page"/>
      </w:r>
    </w:p>
    <w:p>
      <w:pPr>
        <w:pStyle w:val="Heading1"/>
        <w:jc w:val="left"/>
        <w:pBdr>
          <w:bottom w:val="single" w:sz="10" w:space="4" w:color="C5A35B"/>
        </w:pBdr>
      </w:pPr>
      <w:r>
        <w:rPr>
          <w:rFonts w:ascii="Liberation Sans" w:hAnsi="Liberation Sans" w:cs="Liberation Sans" w:eastAsia="Liberation Sans"/>
          <w:b/>
          <w:color w:val="0B2D4D"/>
          <w:sz w:val="34"/>
        </w:rPr>
        <w:t>1. Executive Summary</w:t>
      </w:r>
    </w:p>
    <w:p>
      <w:pPr>
        <w:spacing w:after="120" w:line="276" w:lineRule="auto"/>
        <w:jc w:val="left"/>
      </w:pPr>
      <w:r>
        <w:rPr>
          <w:rFonts w:ascii="Liberation Sans" w:hAnsi="Liberation Sans" w:cs="Liberation Sans" w:eastAsia="Liberation Sans"/>
          <w:b w:val="0"/>
          <w:color w:val="1F2937"/>
          <w:sz w:val="22"/>
        </w:rPr>
        <w:t>The GARC Autism Research Agenda 2027–2030 establishes the strategic framework through which the Global Autism Research Center will identify, prioritise, conduct, coordinate, translate and disseminate autism-related research during the 2027–2030 period.</w:t>
      </w:r>
    </w:p>
    <w:p>
      <w:pPr>
        <w:spacing w:after="120" w:line="276" w:lineRule="auto"/>
        <w:jc w:val="left"/>
      </w:pPr>
      <w:r>
        <w:rPr>
          <w:rFonts w:ascii="Liberation Sans" w:hAnsi="Liberation Sans" w:cs="Liberation Sans" w:eastAsia="Liberation Sans"/>
          <w:b w:val="0"/>
          <w:color w:val="1F2937"/>
          <w:sz w:val="22"/>
        </w:rPr>
        <w:t>The Agenda reflects GARC's institutional purpose: to connect scientific knowledge with practical implementation and help institutions move from fragmented information to evidence-informed decisions, stronger systems and measurable impact.</w:t>
      </w:r>
    </w:p>
    <w:p>
      <w:pPr>
        <w:spacing w:after="120" w:line="276" w:lineRule="auto"/>
        <w:jc w:val="left"/>
      </w:pPr>
      <w:r>
        <w:rPr>
          <w:rFonts w:ascii="Liberation Sans" w:hAnsi="Liberation Sans" w:cs="Liberation Sans" w:eastAsia="Liberation Sans"/>
          <w:b w:val="0"/>
          <w:color w:val="1F2937"/>
          <w:sz w:val="22"/>
        </w:rPr>
        <w:t>GARC's research model is intentionally broader than academic publication alone. Research is expected to move through a structured pathway:</w:t>
      </w: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Research → Data → Policy → Practice → Impact</w:t>
            </w:r>
          </w:p>
        </w:tc>
      </w:tr>
    </w:tbl>
    <w:p>
      <w:pPr>
        <w:spacing w:after="0"/>
      </w:pPr>
    </w:p>
    <w:p>
      <w:pPr>
        <w:spacing w:after="120" w:line="276" w:lineRule="auto"/>
        <w:jc w:val="left"/>
      </w:pPr>
      <w:r>
        <w:rPr>
          <w:rFonts w:ascii="Liberation Sans" w:hAnsi="Liberation Sans" w:cs="Liberation Sans" w:eastAsia="Liberation Sans"/>
          <w:b w:val="0"/>
          <w:color w:val="1F2937"/>
          <w:sz w:val="22"/>
        </w:rPr>
        <w:t>The Agenda therefore combines scientific inquiry with evidence synthesis, data intelligence, policy translation, service-system research, institutional improvement and responsible technological innovation.</w:t>
      </w:r>
    </w:p>
    <w:p>
      <w:pPr>
        <w:spacing w:after="120" w:line="276" w:lineRule="auto"/>
        <w:jc w:val="left"/>
      </w:pPr>
      <w:r>
        <w:rPr>
          <w:rFonts w:ascii="Liberation Sans" w:hAnsi="Liberation Sans" w:cs="Liberation Sans" w:eastAsia="Liberation Sans"/>
          <w:b w:val="0"/>
          <w:color w:val="1F2937"/>
          <w:sz w:val="22"/>
        </w:rPr>
        <w:t>Autism represents a diverse range of neurodevelopmental characteristics, support needs and life experiences. The World Health Organization's 17 September 2025 update estimates that approximately 1 in 127 people globally were autistic in 2021, while highlighting substantial variation in needs across the life course, frequent co-occurring health conditions, inequalities in access to services and the importance of coordinated action across health, education, employment and social systems.</w:t>
      </w:r>
    </w:p>
    <w:p>
      <w:pPr>
        <w:spacing w:after="120" w:line="276" w:lineRule="auto"/>
        <w:jc w:val="left"/>
      </w:pPr>
      <w:r>
        <w:rPr>
          <w:rFonts w:ascii="Liberation Sans" w:hAnsi="Liberation Sans" w:cs="Liberation Sans" w:eastAsia="Liberation Sans"/>
          <w:b w:val="0"/>
          <w:color w:val="1F2937"/>
          <w:sz w:val="22"/>
        </w:rPr>
        <w:t>Current international research frameworks also increasingly emphasise lifespan outcomes, services and supports, research infrastructure, equity and the involvement of autistic people and families in research priority setting. Community-led priority-setting exercises have similarly identified mental health, adult support, education, family support, employment, diagnosis and service delivery as high-value research areas.</w:t>
      </w:r>
    </w:p>
    <w:p>
      <w:pPr>
        <w:spacing w:after="120" w:line="276" w:lineRule="auto"/>
        <w:jc w:val="left"/>
      </w:pPr>
      <w:r>
        <w:rPr>
          <w:rFonts w:ascii="Liberation Sans" w:hAnsi="Liberation Sans" w:cs="Liberation Sans" w:eastAsia="Liberation Sans"/>
          <w:b w:val="0"/>
          <w:color w:val="1F2937"/>
          <w:sz w:val="22"/>
        </w:rPr>
        <w:t>GARC will address these challenges through seven integrated Research Domains:</w:t>
      </w:r>
    </w:p>
    <w:p>
      <w:pPr>
        <w:pStyle w:val="ListNumber"/>
        <w:spacing w:after="60" w:line="259" w:lineRule="auto"/>
        <w:jc w:val="left"/>
      </w:pPr>
      <w:r>
        <w:rPr>
          <w:rFonts w:ascii="Liberation Sans" w:hAnsi="Liberation Sans" w:cs="Liberation Sans" w:eastAsia="Liberation Sans"/>
          <w:b w:val="0"/>
          <w:color w:val="1F2937"/>
          <w:sz w:val="21"/>
        </w:rPr>
        <w:t>Epidemiology, Evidence &amp; Autism Research Systems</w:t>
      </w:r>
    </w:p>
    <w:p>
      <w:pPr>
        <w:pStyle w:val="ListNumber"/>
        <w:spacing w:after="60" w:line="259" w:lineRule="auto"/>
        <w:jc w:val="left"/>
      </w:pPr>
      <w:r>
        <w:rPr>
          <w:rFonts w:ascii="Liberation Sans" w:hAnsi="Liberation Sans" w:cs="Liberation Sans" w:eastAsia="Liberation Sans"/>
          <w:b w:val="0"/>
          <w:color w:val="1F2937"/>
          <w:sz w:val="21"/>
        </w:rPr>
        <w:t>Identification, Assessment &amp; Personalised Support</w:t>
      </w:r>
    </w:p>
    <w:p>
      <w:pPr>
        <w:pStyle w:val="ListNumber"/>
        <w:spacing w:after="60" w:line="259" w:lineRule="auto"/>
        <w:jc w:val="left"/>
      </w:pPr>
      <w:r>
        <w:rPr>
          <w:rFonts w:ascii="Liberation Sans" w:hAnsi="Liberation Sans" w:cs="Liberation Sans" w:eastAsia="Liberation Sans"/>
          <w:b w:val="0"/>
          <w:color w:val="1F2937"/>
          <w:sz w:val="21"/>
        </w:rPr>
        <w:t>Health, Wellbeing &amp; Co-occurring Conditions</w:t>
      </w:r>
    </w:p>
    <w:p>
      <w:pPr>
        <w:pStyle w:val="ListNumber"/>
        <w:spacing w:after="60" w:line="259" w:lineRule="auto"/>
        <w:jc w:val="left"/>
      </w:pPr>
      <w:r>
        <w:rPr>
          <w:rFonts w:ascii="Liberation Sans" w:hAnsi="Liberation Sans" w:cs="Liberation Sans" w:eastAsia="Liberation Sans"/>
          <w:b w:val="0"/>
          <w:color w:val="1F2937"/>
          <w:sz w:val="21"/>
        </w:rPr>
        <w:t>Education, Inclusion &amp; Life Transitions</w:t>
      </w:r>
    </w:p>
    <w:p>
      <w:pPr>
        <w:pStyle w:val="ListNumber"/>
        <w:spacing w:after="60" w:line="259" w:lineRule="auto"/>
        <w:jc w:val="left"/>
      </w:pPr>
      <w:r>
        <w:rPr>
          <w:rFonts w:ascii="Liberation Sans" w:hAnsi="Liberation Sans" w:cs="Liberation Sans" w:eastAsia="Liberation Sans"/>
          <w:b w:val="0"/>
          <w:color w:val="1F2937"/>
          <w:sz w:val="21"/>
        </w:rPr>
        <w:t>Families, Communities &amp; Quality of Life</w:t>
      </w:r>
    </w:p>
    <w:p>
      <w:pPr>
        <w:pStyle w:val="ListNumber"/>
        <w:spacing w:after="60" w:line="259" w:lineRule="auto"/>
        <w:jc w:val="left"/>
      </w:pPr>
      <w:r>
        <w:rPr>
          <w:rFonts w:ascii="Liberation Sans" w:hAnsi="Liberation Sans" w:cs="Liberation Sans" w:eastAsia="Liberation Sans"/>
          <w:b w:val="0"/>
          <w:color w:val="1F2937"/>
          <w:sz w:val="21"/>
        </w:rPr>
        <w:t>Services, Policy, Workforce &amp; System Performance</w:t>
      </w:r>
    </w:p>
    <w:p>
      <w:pPr>
        <w:pStyle w:val="ListNumber"/>
        <w:spacing w:after="60" w:line="259" w:lineRule="auto"/>
        <w:jc w:val="left"/>
      </w:pPr>
      <w:r>
        <w:rPr>
          <w:rFonts w:ascii="Liberation Sans" w:hAnsi="Liberation Sans" w:cs="Liberation Sans" w:eastAsia="Liberation Sans"/>
          <w:b w:val="0"/>
          <w:color w:val="1F2937"/>
          <w:sz w:val="21"/>
        </w:rPr>
        <w:t>Data, Digital Technologies &amp; Responsible AI</w:t>
      </w:r>
    </w:p>
    <w:p>
      <w:pPr>
        <w:spacing w:after="120" w:line="276" w:lineRule="auto"/>
        <w:jc w:val="left"/>
      </w:pPr>
      <w:r>
        <w:rPr>
          <w:rFonts w:ascii="Liberation Sans" w:hAnsi="Liberation Sans" w:cs="Liberation Sans" w:eastAsia="Liberation Sans"/>
          <w:b w:val="0"/>
          <w:color w:val="1F2937"/>
          <w:sz w:val="22"/>
        </w:rPr>
        <w:t>These domains are supported by cross-cutting principles covering lived experience, life-course relevance, equity, cultural relevance, scientific quality, implementation, open knowledge, responsible data and AI, and measurable impact.</w:t>
      </w:r>
    </w:p>
    <w:p>
      <w:pPr>
        <w:spacing w:after="120" w:line="276" w:lineRule="auto"/>
        <w:jc w:val="left"/>
      </w:pPr>
      <w:r>
        <w:rPr>
          <w:rFonts w:ascii="Liberation Sans" w:hAnsi="Liberation Sans" w:cs="Liberation Sans" w:eastAsia="Liberation Sans"/>
          <w:b w:val="0"/>
          <w:color w:val="1F2937"/>
          <w:sz w:val="22"/>
        </w:rPr>
        <w:t>The Agenda is global in scope while deliberately supporting research in underrepresented and under-researched settings. This is particularly relevant to the GCC and wider MENA region, where recent evidence continues to show major limitations and heterogeneity in autism prevalence data and a need for stronger, more comparable research.</w:t>
      </w:r>
    </w:p>
    <w:p>
      <w:pPr>
        <w:pStyle w:val="Heading1"/>
        <w:jc w:val="left"/>
        <w:pBdr>
          <w:bottom w:val="single" w:sz="10" w:space="4" w:color="C5A35B"/>
        </w:pBdr>
      </w:pPr>
      <w:r>
        <w:rPr>
          <w:rFonts w:ascii="Liberation Sans" w:hAnsi="Liberation Sans" w:cs="Liberation Sans" w:eastAsia="Liberation Sans"/>
          <w:b/>
          <w:color w:val="0B2D4D"/>
          <w:sz w:val="34"/>
        </w:rPr>
        <w:t>2. Institutional Purpose of the Research Agenda</w:t>
      </w:r>
    </w:p>
    <w:p>
      <w:pPr>
        <w:spacing w:after="120" w:line="276" w:lineRule="auto"/>
        <w:jc w:val="left"/>
      </w:pPr>
      <w:r>
        <w:rPr>
          <w:rFonts w:ascii="Liberation Sans" w:hAnsi="Liberation Sans" w:cs="Liberation Sans" w:eastAsia="Liberation Sans"/>
          <w:b w:val="0"/>
          <w:color w:val="1F2937"/>
          <w:sz w:val="22"/>
        </w:rPr>
        <w:t>The Research Agenda serves six institutional purposes.</w:t>
      </w:r>
    </w:p>
    <w:p>
      <w:pPr>
        <w:pStyle w:val="Heading2"/>
        <w:jc w:val="left"/>
      </w:pPr>
      <w:r>
        <w:rPr>
          <w:rFonts w:ascii="Liberation Sans" w:hAnsi="Liberation Sans" w:cs="Liberation Sans" w:eastAsia="Liberation Sans"/>
          <w:b/>
          <w:color w:val="174F78"/>
          <w:sz w:val="25"/>
        </w:rPr>
        <w:t>2.1 Direction</w:t>
      </w:r>
    </w:p>
    <w:p>
      <w:pPr>
        <w:spacing w:after="120" w:line="276" w:lineRule="auto"/>
        <w:jc w:val="left"/>
      </w:pPr>
      <w:r>
        <w:rPr>
          <w:rFonts w:ascii="Liberation Sans" w:hAnsi="Liberation Sans" w:cs="Liberation Sans" w:eastAsia="Liberation Sans"/>
          <w:b w:val="0"/>
          <w:color w:val="1F2937"/>
          <w:sz w:val="22"/>
        </w:rPr>
        <w:t>It establishes a coherent set of autism research priorities rather than allowing projects to emerge solely from isolated opportunities, individual interests or funding availability.</w:t>
      </w:r>
    </w:p>
    <w:p>
      <w:pPr>
        <w:pStyle w:val="Heading2"/>
        <w:jc w:val="left"/>
      </w:pPr>
      <w:r>
        <w:rPr>
          <w:rFonts w:ascii="Liberation Sans" w:hAnsi="Liberation Sans" w:cs="Liberation Sans" w:eastAsia="Liberation Sans"/>
          <w:b/>
          <w:color w:val="174F78"/>
          <w:sz w:val="25"/>
        </w:rPr>
        <w:t>2.2 Scientific Focus</w:t>
      </w:r>
    </w:p>
    <w:p>
      <w:pPr>
        <w:spacing w:after="120" w:line="276" w:lineRule="auto"/>
        <w:jc w:val="left"/>
      </w:pPr>
      <w:r>
        <w:rPr>
          <w:rFonts w:ascii="Liberation Sans" w:hAnsi="Liberation Sans" w:cs="Liberation Sans" w:eastAsia="Liberation Sans"/>
          <w:b w:val="0"/>
          <w:color w:val="1F2937"/>
          <w:sz w:val="22"/>
        </w:rPr>
        <w:t>It defines where GARC intends to develop sustained institutional knowledge and expertise between 2027 and 2030.</w:t>
      </w:r>
    </w:p>
    <w:p>
      <w:pPr>
        <w:pStyle w:val="Heading2"/>
        <w:jc w:val="left"/>
      </w:pPr>
      <w:r>
        <w:rPr>
          <w:rFonts w:ascii="Liberation Sans" w:hAnsi="Liberation Sans" w:cs="Liberation Sans" w:eastAsia="Liberation Sans"/>
          <w:b/>
          <w:color w:val="174F78"/>
          <w:sz w:val="25"/>
        </w:rPr>
        <w:t>2.3 Portfolio Discipline</w:t>
      </w:r>
    </w:p>
    <w:p>
      <w:pPr>
        <w:spacing w:after="120" w:line="276" w:lineRule="auto"/>
        <w:jc w:val="left"/>
      </w:pPr>
      <w:r>
        <w:rPr>
          <w:rFonts w:ascii="Liberation Sans" w:hAnsi="Liberation Sans" w:cs="Liberation Sans" w:eastAsia="Liberation Sans"/>
          <w:b w:val="0"/>
          <w:color w:val="1F2937"/>
          <w:sz w:val="22"/>
        </w:rPr>
        <w:t>It provides a common framework for deciding which proposed studies, evidence reviews, data projects, collaborations and publications should enter the GARC research portfolio.</w:t>
      </w:r>
    </w:p>
    <w:p>
      <w:pPr>
        <w:pStyle w:val="Heading2"/>
        <w:jc w:val="left"/>
      </w:pPr>
      <w:r>
        <w:rPr>
          <w:rFonts w:ascii="Liberation Sans" w:hAnsi="Liberation Sans" w:cs="Liberation Sans" w:eastAsia="Liberation Sans"/>
          <w:b/>
          <w:color w:val="174F78"/>
          <w:sz w:val="25"/>
        </w:rPr>
        <w:t>2.4 Partnership Alignment</w:t>
      </w:r>
    </w:p>
    <w:p>
      <w:pPr>
        <w:spacing w:after="120" w:line="276" w:lineRule="auto"/>
        <w:jc w:val="left"/>
      </w:pPr>
      <w:r>
        <w:rPr>
          <w:rFonts w:ascii="Liberation Sans" w:hAnsi="Liberation Sans" w:cs="Liberation Sans" w:eastAsia="Liberation Sans"/>
          <w:b w:val="0"/>
          <w:color w:val="1F2937"/>
          <w:sz w:val="22"/>
        </w:rPr>
        <w:t>It gives universities, research institutions, governments, autism organisations, researchers and potential collaborators a transparent framework for identifying areas of shared research interest.</w:t>
      </w:r>
    </w:p>
    <w:p>
      <w:pPr>
        <w:pStyle w:val="Heading2"/>
        <w:jc w:val="left"/>
      </w:pPr>
      <w:r>
        <w:rPr>
          <w:rFonts w:ascii="Liberation Sans" w:hAnsi="Liberation Sans" w:cs="Liberation Sans" w:eastAsia="Liberation Sans"/>
          <w:b/>
          <w:color w:val="174F78"/>
          <w:sz w:val="25"/>
        </w:rPr>
        <w:t>2.5 Knowledge Translation</w:t>
      </w:r>
    </w:p>
    <w:p>
      <w:pPr>
        <w:spacing w:after="120" w:line="276" w:lineRule="auto"/>
        <w:jc w:val="left"/>
      </w:pPr>
      <w:r>
        <w:rPr>
          <w:rFonts w:ascii="Liberation Sans" w:hAnsi="Liberation Sans" w:cs="Liberation Sans" w:eastAsia="Liberation Sans"/>
          <w:b w:val="0"/>
          <w:color w:val="1F2937"/>
          <w:sz w:val="22"/>
        </w:rPr>
        <w:t>It requires research to be designed with pathways to policy, practice, service improvement, institutional decision-making or future research.</w:t>
      </w:r>
    </w:p>
    <w:p>
      <w:pPr>
        <w:pStyle w:val="Heading2"/>
        <w:jc w:val="left"/>
      </w:pPr>
      <w:r>
        <w:rPr>
          <w:rFonts w:ascii="Liberation Sans" w:hAnsi="Liberation Sans" w:cs="Liberation Sans" w:eastAsia="Liberation Sans"/>
          <w:b/>
          <w:color w:val="174F78"/>
          <w:sz w:val="25"/>
        </w:rPr>
        <w:t>2.6 Replicability</w:t>
      </w:r>
    </w:p>
    <w:p>
      <w:pPr>
        <w:spacing w:after="120" w:line="276" w:lineRule="auto"/>
        <w:jc w:val="left"/>
      </w:pPr>
      <w:r>
        <w:rPr>
          <w:rFonts w:ascii="Liberation Sans" w:hAnsi="Liberation Sans" w:cs="Liberation Sans" w:eastAsia="Liberation Sans"/>
          <w:b w:val="0"/>
          <w:color w:val="1F2937"/>
          <w:sz w:val="22"/>
        </w:rPr>
        <w:t>It serves as the first specialised implementation of the wider GRS Group research operating model and will inform the future GRS Center Operating Model v1.0.</w:t>
      </w:r>
    </w:p>
    <w:p>
      <w:pPr>
        <w:pStyle w:val="Heading1"/>
        <w:jc w:val="left"/>
        <w:pBdr>
          <w:bottom w:val="single" w:sz="10" w:space="4" w:color="C5A35B"/>
        </w:pBdr>
      </w:pPr>
      <w:r>
        <w:rPr>
          <w:rFonts w:ascii="Liberation Sans" w:hAnsi="Liberation Sans" w:cs="Liberation Sans" w:eastAsia="Liberation Sans"/>
          <w:b/>
          <w:color w:val="0B2D4D"/>
          <w:sz w:val="34"/>
        </w:rPr>
        <w:t>3. Strategic Research Thesis</w:t>
      </w:r>
    </w:p>
    <w:p>
      <w:pPr>
        <w:spacing w:after="120" w:line="276" w:lineRule="auto"/>
        <w:jc w:val="left"/>
      </w:pPr>
      <w:r>
        <w:rPr>
          <w:rFonts w:ascii="Liberation Sans" w:hAnsi="Liberation Sans" w:cs="Liberation Sans" w:eastAsia="Liberation Sans"/>
          <w:b w:val="0"/>
          <w:color w:val="1F2937"/>
          <w:sz w:val="22"/>
        </w:rPr>
        <w:t>GARC is built around a simple institutional thesis:</w:t>
      </w: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Autism research creates greater value when scientific evidence is systematically connected to data, policy, services, institutions and real-world outcomes.</w:t>
            </w:r>
          </w:p>
        </w:tc>
      </w:tr>
    </w:tbl>
    <w:p>
      <w:pPr>
        <w:spacing w:after="0"/>
      </w:pPr>
    </w:p>
    <w:p>
      <w:pPr>
        <w:spacing w:after="120" w:line="276" w:lineRule="auto"/>
        <w:jc w:val="left"/>
      </w:pPr>
      <w:r>
        <w:rPr>
          <w:rFonts w:ascii="Liberation Sans" w:hAnsi="Liberation Sans" w:cs="Liberation Sans" w:eastAsia="Liberation Sans"/>
          <w:b w:val="0"/>
          <w:color w:val="1F2937"/>
          <w:sz w:val="22"/>
        </w:rPr>
        <w:t>Accordingly, GARC will not measure research success solely through the number of studies or publications produced. Research value will also be assessed through its ability to:</w:t>
      </w:r>
    </w:p>
    <w:p>
      <w:pPr>
        <w:pStyle w:val="ListBullet"/>
        <w:spacing w:after="60" w:line="259" w:lineRule="auto"/>
        <w:jc w:val="left"/>
      </w:pPr>
      <w:r>
        <w:rPr>
          <w:rFonts w:ascii="Liberation Sans" w:hAnsi="Liberation Sans" w:cs="Liberation Sans" w:eastAsia="Liberation Sans"/>
          <w:b w:val="0"/>
          <w:color w:val="1F2937"/>
          <w:sz w:val="21"/>
        </w:rPr>
        <w:t>clarify important evidence gaps;</w:t>
      </w:r>
    </w:p>
    <w:p>
      <w:pPr>
        <w:pStyle w:val="ListBullet"/>
        <w:spacing w:after="60" w:line="259" w:lineRule="auto"/>
        <w:jc w:val="left"/>
      </w:pPr>
      <w:r>
        <w:rPr>
          <w:rFonts w:ascii="Liberation Sans" w:hAnsi="Liberation Sans" w:cs="Liberation Sans" w:eastAsia="Liberation Sans"/>
          <w:b w:val="0"/>
          <w:color w:val="1F2937"/>
          <w:sz w:val="21"/>
        </w:rPr>
        <w:t>improve the quality and comparability of autism data;</w:t>
      </w:r>
    </w:p>
    <w:p>
      <w:pPr>
        <w:pStyle w:val="ListBullet"/>
        <w:spacing w:after="60" w:line="259" w:lineRule="auto"/>
        <w:jc w:val="left"/>
      </w:pPr>
      <w:r>
        <w:rPr>
          <w:rFonts w:ascii="Liberation Sans" w:hAnsi="Liberation Sans" w:cs="Liberation Sans" w:eastAsia="Liberation Sans"/>
          <w:b w:val="0"/>
          <w:color w:val="1F2937"/>
          <w:sz w:val="21"/>
        </w:rPr>
        <w:t>strengthen institutional decision-making;</w:t>
      </w:r>
    </w:p>
    <w:p>
      <w:pPr>
        <w:pStyle w:val="ListBullet"/>
        <w:spacing w:after="60" w:line="259" w:lineRule="auto"/>
        <w:jc w:val="left"/>
      </w:pPr>
      <w:r>
        <w:rPr>
          <w:rFonts w:ascii="Liberation Sans" w:hAnsi="Liberation Sans" w:cs="Liberation Sans" w:eastAsia="Liberation Sans"/>
          <w:b w:val="0"/>
          <w:color w:val="1F2937"/>
          <w:sz w:val="21"/>
        </w:rPr>
        <w:t>improve service design and accessibility;</w:t>
      </w:r>
    </w:p>
    <w:p>
      <w:pPr>
        <w:pStyle w:val="ListBullet"/>
        <w:spacing w:after="60" w:line="259" w:lineRule="auto"/>
        <w:jc w:val="left"/>
      </w:pPr>
      <w:r>
        <w:rPr>
          <w:rFonts w:ascii="Liberation Sans" w:hAnsi="Liberation Sans" w:cs="Liberation Sans" w:eastAsia="Liberation Sans"/>
          <w:b w:val="0"/>
          <w:color w:val="1F2937"/>
          <w:sz w:val="21"/>
        </w:rPr>
        <w:t>inform policies and strategies;</w:t>
      </w:r>
    </w:p>
    <w:p>
      <w:pPr>
        <w:pStyle w:val="ListBullet"/>
        <w:spacing w:after="60" w:line="259" w:lineRule="auto"/>
        <w:jc w:val="left"/>
      </w:pPr>
      <w:r>
        <w:rPr>
          <w:rFonts w:ascii="Liberation Sans" w:hAnsi="Liberation Sans" w:cs="Liberation Sans" w:eastAsia="Liberation Sans"/>
          <w:b w:val="0"/>
          <w:color w:val="1F2937"/>
          <w:sz w:val="21"/>
        </w:rPr>
        <w:t>support autistic people and families across the life course;</w:t>
      </w:r>
    </w:p>
    <w:p>
      <w:pPr>
        <w:pStyle w:val="ListBullet"/>
        <w:spacing w:after="60" w:line="259" w:lineRule="auto"/>
        <w:jc w:val="left"/>
      </w:pPr>
      <w:r>
        <w:rPr>
          <w:rFonts w:ascii="Liberation Sans" w:hAnsi="Liberation Sans" w:cs="Liberation Sans" w:eastAsia="Liberation Sans"/>
          <w:b w:val="0"/>
          <w:color w:val="1F2937"/>
          <w:sz w:val="21"/>
        </w:rPr>
        <w:t>strengthen professional and organisational capability;</w:t>
      </w:r>
    </w:p>
    <w:p>
      <w:pPr>
        <w:pStyle w:val="ListBullet"/>
        <w:spacing w:after="60" w:line="259" w:lineRule="auto"/>
        <w:jc w:val="left"/>
      </w:pPr>
      <w:r>
        <w:rPr>
          <w:rFonts w:ascii="Liberation Sans" w:hAnsi="Liberation Sans" w:cs="Liberation Sans" w:eastAsia="Liberation Sans"/>
          <w:b w:val="0"/>
          <w:color w:val="1F2937"/>
          <w:sz w:val="21"/>
        </w:rPr>
        <w:t>create reusable frameworks and knowledge assets;</w:t>
      </w:r>
    </w:p>
    <w:p>
      <w:pPr>
        <w:pStyle w:val="ListBullet"/>
        <w:spacing w:after="60" w:line="259" w:lineRule="auto"/>
        <w:jc w:val="left"/>
      </w:pPr>
      <w:r>
        <w:rPr>
          <w:rFonts w:ascii="Liberation Sans" w:hAnsi="Liberation Sans" w:cs="Liberation Sans" w:eastAsia="Liberation Sans"/>
          <w:b w:val="0"/>
          <w:color w:val="1F2937"/>
          <w:sz w:val="21"/>
        </w:rPr>
        <w:t>enable responsible technological innovation;</w:t>
      </w:r>
    </w:p>
    <w:p>
      <w:pPr>
        <w:pStyle w:val="ListBullet"/>
        <w:spacing w:after="60" w:line="259" w:lineRule="auto"/>
        <w:jc w:val="left"/>
      </w:pPr>
      <w:r>
        <w:rPr>
          <w:rFonts w:ascii="Liberation Sans" w:hAnsi="Liberation Sans" w:cs="Liberation Sans" w:eastAsia="Liberation Sans"/>
          <w:b w:val="0"/>
          <w:color w:val="1F2937"/>
          <w:sz w:val="21"/>
        </w:rPr>
        <w:t>generate measurable institutional or societal value.</w:t>
      </w:r>
    </w:p>
    <w:p>
      <w:pPr>
        <w:pStyle w:val="Heading1"/>
        <w:jc w:val="left"/>
        <w:pBdr>
          <w:bottom w:val="single" w:sz="10" w:space="4" w:color="C5A35B"/>
        </w:pBdr>
      </w:pPr>
      <w:r>
        <w:rPr>
          <w:rFonts w:ascii="Liberation Sans" w:hAnsi="Liberation Sans" w:cs="Liberation Sans" w:eastAsia="Liberation Sans"/>
          <w:b/>
          <w:color w:val="0B2D4D"/>
          <w:sz w:val="34"/>
        </w:rPr>
        <w:t>4. Scope of the Agenda</w:t>
      </w:r>
    </w:p>
    <w:p>
      <w:pPr>
        <w:spacing w:after="120" w:line="276" w:lineRule="auto"/>
        <w:jc w:val="left"/>
      </w:pPr>
      <w:r>
        <w:rPr>
          <w:rFonts w:ascii="Liberation Sans" w:hAnsi="Liberation Sans" w:cs="Liberation Sans" w:eastAsia="Liberation Sans"/>
          <w:b w:val="0"/>
          <w:color w:val="1F2937"/>
          <w:sz w:val="22"/>
        </w:rPr>
        <w:t>The GARC Research Agenda covers autism-related research involving:</w:t>
      </w:r>
    </w:p>
    <w:p>
      <w:pPr>
        <w:pStyle w:val="ListBullet"/>
        <w:spacing w:after="60" w:line="259" w:lineRule="auto"/>
        <w:jc w:val="left"/>
      </w:pPr>
      <w:r>
        <w:rPr>
          <w:rFonts w:ascii="Liberation Sans" w:hAnsi="Liberation Sans" w:cs="Liberation Sans" w:eastAsia="Liberation Sans"/>
          <w:b w:val="0"/>
          <w:color w:val="1F2937"/>
          <w:sz w:val="21"/>
        </w:rPr>
        <w:t>Population and epidemiological research: prevalence, population characteristics, research gaps, inequalities and longitudinal trends.</w:t>
      </w:r>
    </w:p>
    <w:p>
      <w:pPr>
        <w:pStyle w:val="ListBullet"/>
        <w:spacing w:after="60" w:line="259" w:lineRule="auto"/>
        <w:jc w:val="left"/>
      </w:pPr>
      <w:r>
        <w:rPr>
          <w:rFonts w:ascii="Liberation Sans" w:hAnsi="Liberation Sans" w:cs="Liberation Sans" w:eastAsia="Liberation Sans"/>
          <w:b w:val="0"/>
          <w:color w:val="1F2937"/>
          <w:sz w:val="21"/>
        </w:rPr>
        <w:t>Applied and implementation research: how evidence, interventions, supports, policies and organisational practices perform in real-world environments.</w:t>
      </w:r>
    </w:p>
    <w:p>
      <w:pPr>
        <w:pStyle w:val="ListBullet"/>
        <w:spacing w:after="60" w:line="259" w:lineRule="auto"/>
        <w:jc w:val="left"/>
      </w:pPr>
      <w:r>
        <w:rPr>
          <w:rFonts w:ascii="Liberation Sans" w:hAnsi="Liberation Sans" w:cs="Liberation Sans" w:eastAsia="Liberation Sans"/>
          <w:b w:val="0"/>
          <w:color w:val="1F2937"/>
          <w:sz w:val="21"/>
        </w:rPr>
        <w:t>Health and wellbeing research: physical health, mental health, co-occurring conditions, accessibility and health-system experiences.</w:t>
      </w:r>
    </w:p>
    <w:p>
      <w:pPr>
        <w:pStyle w:val="ListBullet"/>
        <w:spacing w:after="60" w:line="259" w:lineRule="auto"/>
        <w:jc w:val="left"/>
      </w:pPr>
      <w:r>
        <w:rPr>
          <w:rFonts w:ascii="Liberation Sans" w:hAnsi="Liberation Sans" w:cs="Liberation Sans" w:eastAsia="Liberation Sans"/>
          <w:b w:val="0"/>
          <w:color w:val="1F2937"/>
          <w:sz w:val="21"/>
        </w:rPr>
        <w:t>Education and participation research: education, inclusion, transitions, employment, community participation and adult outcomes.</w:t>
      </w:r>
    </w:p>
    <w:p>
      <w:pPr>
        <w:pStyle w:val="ListBullet"/>
        <w:spacing w:after="60" w:line="259" w:lineRule="auto"/>
        <w:jc w:val="left"/>
      </w:pPr>
      <w:r>
        <w:rPr>
          <w:rFonts w:ascii="Liberation Sans" w:hAnsi="Liberation Sans" w:cs="Liberation Sans" w:eastAsia="Liberation Sans"/>
          <w:b w:val="0"/>
          <w:color w:val="1F2937"/>
          <w:sz w:val="21"/>
        </w:rPr>
        <w:t>Family and community research: family wellbeing, caregiver experience, quality of life, community participation and social inclusion.</w:t>
      </w:r>
    </w:p>
    <w:p>
      <w:pPr>
        <w:pStyle w:val="ListBullet"/>
        <w:spacing w:after="60" w:line="259" w:lineRule="auto"/>
        <w:jc w:val="left"/>
      </w:pPr>
      <w:r>
        <w:rPr>
          <w:rFonts w:ascii="Liberation Sans" w:hAnsi="Liberation Sans" w:cs="Liberation Sans" w:eastAsia="Liberation Sans"/>
          <w:b w:val="0"/>
          <w:color w:val="1F2937"/>
          <w:sz w:val="21"/>
        </w:rPr>
        <w:t>Policy and systems research: service systems, policy, workforce, quality, governance, institutional readiness and system performance.</w:t>
      </w:r>
    </w:p>
    <w:p>
      <w:pPr>
        <w:pStyle w:val="ListBullet"/>
        <w:spacing w:after="60" w:line="259" w:lineRule="auto"/>
        <w:jc w:val="left"/>
      </w:pPr>
      <w:r>
        <w:rPr>
          <w:rFonts w:ascii="Liberation Sans" w:hAnsi="Liberation Sans" w:cs="Liberation Sans" w:eastAsia="Liberation Sans"/>
          <w:b w:val="0"/>
          <w:color w:val="1F2937"/>
          <w:sz w:val="21"/>
        </w:rPr>
        <w:t>Data and technology research: data standards, analytics, digital platforms, assistive technologies and responsible AI.</w:t>
      </w:r>
    </w:p>
    <w:p>
      <w:pPr>
        <w:pStyle w:val="ListBullet"/>
        <w:spacing w:after="60" w:line="259" w:lineRule="auto"/>
        <w:jc w:val="left"/>
      </w:pPr>
      <w:r>
        <w:rPr>
          <w:rFonts w:ascii="Liberation Sans" w:hAnsi="Liberation Sans" w:cs="Liberation Sans" w:eastAsia="Liberation Sans"/>
          <w:b w:val="0"/>
          <w:color w:val="1F2937"/>
          <w:sz w:val="21"/>
        </w:rPr>
        <w:t>Evidence synthesis: systematic reviews, rapid evidence reviews, evidence maps, scoping reviews, benchmarking studies and comparative analyses.</w:t>
      </w:r>
    </w:p>
    <w:p>
      <w:pPr>
        <w:pStyle w:val="ListBullet"/>
        <w:spacing w:after="60" w:line="259" w:lineRule="auto"/>
        <w:jc w:val="left"/>
      </w:pPr>
      <w:r>
        <w:rPr>
          <w:rFonts w:ascii="Liberation Sans" w:hAnsi="Liberation Sans" w:cs="Liberation Sans" w:eastAsia="Liberation Sans"/>
          <w:b w:val="0"/>
          <w:color w:val="1F2937"/>
          <w:sz w:val="21"/>
        </w:rPr>
        <w:t>Multi-country and comparative research: cross-national comparisons and research addressing differences in culture, policy, services, data and outcomes.</w:t>
      </w:r>
    </w:p>
    <w:p>
      <w:pPr>
        <w:pStyle w:val="Heading1"/>
        <w:jc w:val="left"/>
        <w:pBdr>
          <w:bottom w:val="single" w:sz="10" w:space="4" w:color="C5A35B"/>
        </w:pBdr>
      </w:pPr>
      <w:r>
        <w:rPr>
          <w:rFonts w:ascii="Liberation Sans" w:hAnsi="Liberation Sans" w:cs="Liberation Sans" w:eastAsia="Liberation Sans"/>
          <w:b/>
          <w:color w:val="0B2D4D"/>
          <w:sz w:val="34"/>
        </w:rPr>
        <w:t>5. Defined Research Boundary</w:t>
      </w:r>
    </w:p>
    <w:p>
      <w:pPr>
        <w:spacing w:after="120" w:line="276" w:lineRule="auto"/>
        <w:jc w:val="left"/>
      </w:pPr>
      <w:r>
        <w:rPr>
          <w:rFonts w:ascii="Liberation Sans" w:hAnsi="Liberation Sans" w:cs="Liberation Sans" w:eastAsia="Liberation Sans"/>
          <w:b w:val="0"/>
          <w:color w:val="1F2937"/>
          <w:sz w:val="22"/>
        </w:rPr>
        <w:t>GARC is a research and institutional-solutions center. It is not positioned as an individual diagnostic, medical-treatment or clinical-care provider.</w:t>
      </w:r>
    </w:p>
    <w:p>
      <w:pPr>
        <w:spacing w:after="120" w:line="276" w:lineRule="auto"/>
        <w:jc w:val="left"/>
      </w:pPr>
      <w:r>
        <w:rPr>
          <w:rFonts w:ascii="Liberation Sans" w:hAnsi="Liberation Sans" w:cs="Liberation Sans" w:eastAsia="Liberation Sans"/>
          <w:b w:val="0"/>
          <w:color w:val="1F2937"/>
          <w:sz w:val="22"/>
        </w:rPr>
        <w:t>GARC may design or coordinate applied, clinical or multi-centre research with appropriately authorised institutions and licensed professionals where regulatory requirements apply.</w:t>
      </w:r>
    </w:p>
    <w:p>
      <w:pPr>
        <w:spacing w:after="120" w:line="276" w:lineRule="auto"/>
        <w:jc w:val="left"/>
      </w:pPr>
      <w:r>
        <w:rPr>
          <w:rFonts w:ascii="Liberation Sans" w:hAnsi="Liberation Sans" w:cs="Liberation Sans" w:eastAsia="Liberation Sans"/>
          <w:b w:val="0"/>
          <w:color w:val="1F2937"/>
          <w:sz w:val="22"/>
        </w:rPr>
        <w:t>Research involving human participants must follow the applicable ethics, legal, institutional and site-specific approval pathways. Internal GARC or GRS review does not substitute for an independent Research Ethics Committee, Institutional Review Board or other external approval where one is legally or scientifically required.</w:t>
      </w:r>
    </w:p>
    <w:p>
      <w:pPr>
        <w:spacing w:after="120" w:line="276" w:lineRule="auto"/>
        <w:jc w:val="left"/>
      </w:pPr>
      <w:r>
        <w:rPr>
          <w:rFonts w:ascii="Liberation Sans" w:hAnsi="Liberation Sans" w:cs="Liberation Sans" w:eastAsia="Liberation Sans"/>
          <w:b w:val="0"/>
          <w:color w:val="1F2937"/>
          <w:sz w:val="22"/>
        </w:rPr>
        <w:t>Research involving children, vulnerable populations, sensitive health data or people who may require communication or decision-making accommodations must receive enhanced safeguarding and methodological consideration.</w:t>
      </w:r>
    </w:p>
    <w:p>
      <w:pPr>
        <w:pStyle w:val="Heading1"/>
        <w:jc w:val="left"/>
        <w:pBdr>
          <w:bottom w:val="single" w:sz="10" w:space="4" w:color="C5A35B"/>
        </w:pBdr>
      </w:pPr>
      <w:r>
        <w:rPr>
          <w:rFonts w:ascii="Liberation Sans" w:hAnsi="Liberation Sans" w:cs="Liberation Sans" w:eastAsia="Liberation Sans"/>
          <w:b/>
          <w:color w:val="0B2D4D"/>
          <w:sz w:val="34"/>
        </w:rPr>
        <w:t>6. Geographic Orientation</w:t>
      </w:r>
    </w:p>
    <w:p>
      <w:pPr>
        <w:spacing w:after="120" w:line="276" w:lineRule="auto"/>
        <w:jc w:val="left"/>
      </w:pPr>
      <w:r>
        <w:rPr>
          <w:rFonts w:ascii="Liberation Sans" w:hAnsi="Liberation Sans" w:cs="Liberation Sans" w:eastAsia="Liberation Sans"/>
          <w:b w:val="0"/>
          <w:color w:val="1F2937"/>
          <w:sz w:val="22"/>
        </w:rPr>
        <w:t>GARC is designed as a global autism research platform. The Agenda supports international research while deliberately encouraging work in settings where reliable evidence, comparable data or implementation research remain limited.</w:t>
      </w:r>
    </w:p>
    <w:p>
      <w:pPr>
        <w:spacing w:after="120" w:line="276" w:lineRule="auto"/>
        <w:jc w:val="left"/>
      </w:pPr>
      <w:r>
        <w:rPr>
          <w:rFonts w:ascii="Liberation Sans" w:hAnsi="Liberation Sans" w:cs="Liberation Sans" w:eastAsia="Liberation Sans"/>
          <w:b w:val="0"/>
          <w:color w:val="1F2937"/>
          <w:sz w:val="22"/>
        </w:rPr>
        <w:t>Particular value may be generated through:</w:t>
      </w:r>
    </w:p>
    <w:p>
      <w:pPr>
        <w:pStyle w:val="ListBullet"/>
        <w:spacing w:after="60" w:line="259" w:lineRule="auto"/>
        <w:jc w:val="left"/>
      </w:pPr>
      <w:r>
        <w:rPr>
          <w:rFonts w:ascii="Liberation Sans" w:hAnsi="Liberation Sans" w:cs="Liberation Sans" w:eastAsia="Liberation Sans"/>
          <w:b w:val="0"/>
          <w:color w:val="1F2937"/>
          <w:sz w:val="21"/>
        </w:rPr>
        <w:t>GCC and MENA research;</w:t>
      </w:r>
    </w:p>
    <w:p>
      <w:pPr>
        <w:pStyle w:val="ListBullet"/>
        <w:spacing w:after="60" w:line="259" w:lineRule="auto"/>
        <w:jc w:val="left"/>
      </w:pPr>
      <w:r>
        <w:rPr>
          <w:rFonts w:ascii="Liberation Sans" w:hAnsi="Liberation Sans" w:cs="Liberation Sans" w:eastAsia="Liberation Sans"/>
          <w:b w:val="0"/>
          <w:color w:val="1F2937"/>
          <w:sz w:val="21"/>
        </w:rPr>
        <w:t>cross-country comparative studies;</w:t>
      </w:r>
    </w:p>
    <w:p>
      <w:pPr>
        <w:pStyle w:val="ListBullet"/>
        <w:spacing w:after="60" w:line="259" w:lineRule="auto"/>
        <w:jc w:val="left"/>
      </w:pPr>
      <w:r>
        <w:rPr>
          <w:rFonts w:ascii="Liberation Sans" w:hAnsi="Liberation Sans" w:cs="Liberation Sans" w:eastAsia="Liberation Sans"/>
          <w:b w:val="0"/>
          <w:color w:val="1F2937"/>
          <w:sz w:val="21"/>
        </w:rPr>
        <w:t>collaboration between high-resource and emerging research systems;</w:t>
      </w:r>
    </w:p>
    <w:p>
      <w:pPr>
        <w:pStyle w:val="ListBullet"/>
        <w:spacing w:after="60" w:line="259" w:lineRule="auto"/>
        <w:jc w:val="left"/>
      </w:pPr>
      <w:r>
        <w:rPr>
          <w:rFonts w:ascii="Liberation Sans" w:hAnsi="Liberation Sans" w:cs="Liberation Sans" w:eastAsia="Liberation Sans"/>
          <w:b w:val="0"/>
          <w:color w:val="1F2937"/>
          <w:sz w:val="21"/>
        </w:rPr>
        <w:t>culturally responsive research tools;</w:t>
      </w:r>
    </w:p>
    <w:p>
      <w:pPr>
        <w:pStyle w:val="ListBullet"/>
        <w:spacing w:after="60" w:line="259" w:lineRule="auto"/>
        <w:jc w:val="left"/>
      </w:pPr>
      <w:r>
        <w:rPr>
          <w:rFonts w:ascii="Liberation Sans" w:hAnsi="Liberation Sans" w:cs="Liberation Sans" w:eastAsia="Liberation Sans"/>
          <w:b w:val="0"/>
          <w:color w:val="1F2937"/>
          <w:sz w:val="21"/>
        </w:rPr>
        <w:t>Arabic-language research resources;</w:t>
      </w:r>
    </w:p>
    <w:p>
      <w:pPr>
        <w:pStyle w:val="ListBullet"/>
        <w:spacing w:after="60" w:line="259" w:lineRule="auto"/>
        <w:jc w:val="left"/>
      </w:pPr>
      <w:r>
        <w:rPr>
          <w:rFonts w:ascii="Liberation Sans" w:hAnsi="Liberation Sans" w:cs="Liberation Sans" w:eastAsia="Liberation Sans"/>
          <w:b w:val="0"/>
          <w:color w:val="1F2937"/>
          <w:sz w:val="21"/>
        </w:rPr>
        <w:t>comparative policy and service-system research;</w:t>
      </w:r>
    </w:p>
    <w:p>
      <w:pPr>
        <w:pStyle w:val="ListBullet"/>
        <w:spacing w:after="60" w:line="259" w:lineRule="auto"/>
        <w:jc w:val="left"/>
      </w:pPr>
      <w:r>
        <w:rPr>
          <w:rFonts w:ascii="Liberation Sans" w:hAnsi="Liberation Sans" w:cs="Liberation Sans" w:eastAsia="Liberation Sans"/>
          <w:b w:val="0"/>
          <w:color w:val="1F2937"/>
          <w:sz w:val="21"/>
        </w:rPr>
        <w:t>locally relevant implementation research.</w:t>
      </w:r>
    </w:p>
    <w:p>
      <w:pPr>
        <w:spacing w:after="120" w:line="276" w:lineRule="auto"/>
        <w:jc w:val="left"/>
      </w:pPr>
      <w:r>
        <w:rPr>
          <w:rFonts w:ascii="Liberation Sans" w:hAnsi="Liberation Sans" w:cs="Liberation Sans" w:eastAsia="Liberation Sans"/>
          <w:b w:val="0"/>
          <w:color w:val="1F2937"/>
          <w:sz w:val="22"/>
        </w:rPr>
        <w:t>A 2025 systematic review and meta-analysis of autism prevalence in the MENA region identified only 19 eligible studies published between 2007 and 2025 across a limited group of countries, with very high heterogeneity in reported estimates. This reinforces the need for stronger, more comparable regional evidence.</w:t>
      </w:r>
    </w:p>
    <w:p>
      <w:pPr>
        <w:spacing w:after="120" w:line="276" w:lineRule="auto"/>
        <w:jc w:val="left"/>
      </w:pPr>
      <w:r>
        <w:rPr>
          <w:rFonts w:ascii="Liberation Sans" w:hAnsi="Liberation Sans" w:cs="Liberation Sans" w:eastAsia="Liberation Sans"/>
          <w:b w:val="0"/>
          <w:color w:val="1F2937"/>
          <w:sz w:val="22"/>
        </w:rPr>
        <w:t>The geographic emphasis does not limit GARC's global mandate.</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7. Research Domain 1 — Epidemiology, Evidence &amp; Autism Research Systems</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strengthen the evidence infrastructure required to understand autism populations, research gaps and knowledge systems across countries and regions.</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autism prevalence and population characteristics;</w:t>
      </w:r>
    </w:p>
    <w:p>
      <w:pPr>
        <w:pStyle w:val="ListBullet"/>
        <w:spacing w:after="60" w:line="259" w:lineRule="auto"/>
        <w:jc w:val="left"/>
      </w:pPr>
      <w:r>
        <w:rPr>
          <w:rFonts w:ascii="Liberation Sans" w:hAnsi="Liberation Sans" w:cs="Liberation Sans" w:eastAsia="Liberation Sans"/>
          <w:b w:val="0"/>
          <w:color w:val="1F2937"/>
          <w:sz w:val="21"/>
        </w:rPr>
        <w:t>epidemiological evidence quality;</w:t>
      </w:r>
    </w:p>
    <w:p>
      <w:pPr>
        <w:pStyle w:val="ListBullet"/>
        <w:spacing w:after="60" w:line="259" w:lineRule="auto"/>
        <w:jc w:val="left"/>
      </w:pPr>
      <w:r>
        <w:rPr>
          <w:rFonts w:ascii="Liberation Sans" w:hAnsi="Liberation Sans" w:cs="Liberation Sans" w:eastAsia="Liberation Sans"/>
          <w:b w:val="0"/>
          <w:color w:val="1F2937"/>
          <w:sz w:val="21"/>
        </w:rPr>
        <w:t>national and regional data gaps;</w:t>
      </w:r>
    </w:p>
    <w:p>
      <w:pPr>
        <w:pStyle w:val="ListBullet"/>
        <w:spacing w:after="60" w:line="259" w:lineRule="auto"/>
        <w:jc w:val="left"/>
      </w:pPr>
      <w:r>
        <w:rPr>
          <w:rFonts w:ascii="Liberation Sans" w:hAnsi="Liberation Sans" w:cs="Liberation Sans" w:eastAsia="Liberation Sans"/>
          <w:b w:val="0"/>
          <w:color w:val="1F2937"/>
          <w:sz w:val="21"/>
        </w:rPr>
        <w:t>evidence mapping;</w:t>
      </w:r>
    </w:p>
    <w:p>
      <w:pPr>
        <w:pStyle w:val="ListBullet"/>
        <w:spacing w:after="60" w:line="259" w:lineRule="auto"/>
        <w:jc w:val="left"/>
      </w:pPr>
      <w:r>
        <w:rPr>
          <w:rFonts w:ascii="Liberation Sans" w:hAnsi="Liberation Sans" w:cs="Liberation Sans" w:eastAsia="Liberation Sans"/>
          <w:b w:val="0"/>
          <w:color w:val="1F2937"/>
          <w:sz w:val="21"/>
        </w:rPr>
        <w:t>longitudinal evidence;</w:t>
      </w:r>
    </w:p>
    <w:p>
      <w:pPr>
        <w:pStyle w:val="ListBullet"/>
        <w:spacing w:after="60" w:line="259" w:lineRule="auto"/>
        <w:jc w:val="left"/>
      </w:pPr>
      <w:r>
        <w:rPr>
          <w:rFonts w:ascii="Liberation Sans" w:hAnsi="Liberation Sans" w:cs="Liberation Sans" w:eastAsia="Liberation Sans"/>
          <w:b w:val="0"/>
          <w:color w:val="1F2937"/>
          <w:sz w:val="21"/>
        </w:rPr>
        <w:t>autism research landscape analysis;</w:t>
      </w:r>
    </w:p>
    <w:p>
      <w:pPr>
        <w:pStyle w:val="ListBullet"/>
        <w:spacing w:after="60" w:line="259" w:lineRule="auto"/>
        <w:jc w:val="left"/>
      </w:pPr>
      <w:r>
        <w:rPr>
          <w:rFonts w:ascii="Liberation Sans" w:hAnsi="Liberation Sans" w:cs="Liberation Sans" w:eastAsia="Liberation Sans"/>
          <w:b w:val="0"/>
          <w:color w:val="1F2937"/>
          <w:sz w:val="21"/>
        </w:rPr>
        <w:t>research funding and capacity analysis;</w:t>
      </w:r>
    </w:p>
    <w:p>
      <w:pPr>
        <w:pStyle w:val="ListBullet"/>
        <w:spacing w:after="60" w:line="259" w:lineRule="auto"/>
        <w:jc w:val="left"/>
      </w:pPr>
      <w:r>
        <w:rPr>
          <w:rFonts w:ascii="Liberation Sans" w:hAnsi="Liberation Sans" w:cs="Liberation Sans" w:eastAsia="Liberation Sans"/>
          <w:b w:val="0"/>
          <w:color w:val="1F2937"/>
          <w:sz w:val="21"/>
        </w:rPr>
        <w:t>research infrastructure;</w:t>
      </w:r>
    </w:p>
    <w:p>
      <w:pPr>
        <w:pStyle w:val="ListBullet"/>
        <w:spacing w:after="60" w:line="259" w:lineRule="auto"/>
        <w:jc w:val="left"/>
      </w:pPr>
      <w:r>
        <w:rPr>
          <w:rFonts w:ascii="Liberation Sans" w:hAnsi="Liberation Sans" w:cs="Liberation Sans" w:eastAsia="Liberation Sans"/>
          <w:b w:val="0"/>
          <w:color w:val="1F2937"/>
          <w:sz w:val="21"/>
        </w:rPr>
        <w:t>culturally responsive research methods;</w:t>
      </w:r>
    </w:p>
    <w:p>
      <w:pPr>
        <w:pStyle w:val="ListBullet"/>
        <w:spacing w:after="60" w:line="259" w:lineRule="auto"/>
        <w:jc w:val="left"/>
      </w:pPr>
      <w:r>
        <w:rPr>
          <w:rFonts w:ascii="Liberation Sans" w:hAnsi="Liberation Sans" w:cs="Liberation Sans" w:eastAsia="Liberation Sans"/>
          <w:b w:val="0"/>
          <w:color w:val="1F2937"/>
          <w:sz w:val="21"/>
        </w:rPr>
        <w:t>common indicators and definitions;</w:t>
      </w:r>
    </w:p>
    <w:p>
      <w:pPr>
        <w:pStyle w:val="ListBullet"/>
        <w:spacing w:after="60" w:line="259" w:lineRule="auto"/>
        <w:jc w:val="left"/>
      </w:pPr>
      <w:r>
        <w:rPr>
          <w:rFonts w:ascii="Liberation Sans" w:hAnsi="Liberation Sans" w:cs="Liberation Sans" w:eastAsia="Liberation Sans"/>
          <w:b w:val="0"/>
          <w:color w:val="1F2937"/>
          <w:sz w:val="21"/>
        </w:rPr>
        <w:t>comparative and multi-country research;</w:t>
      </w:r>
    </w:p>
    <w:p>
      <w:pPr>
        <w:pStyle w:val="ListBullet"/>
        <w:spacing w:after="60" w:line="259" w:lineRule="auto"/>
        <w:jc w:val="left"/>
      </w:pPr>
      <w:r>
        <w:rPr>
          <w:rFonts w:ascii="Liberation Sans" w:hAnsi="Liberation Sans" w:cs="Liberation Sans" w:eastAsia="Liberation Sans"/>
          <w:b w:val="0"/>
          <w:color w:val="1F2937"/>
          <w:sz w:val="21"/>
        </w:rPr>
        <w:t>evidence accessibility and knowledge repositories.</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Where are the most significant autism evidence and data gaps globally and regionally?</w:t>
      </w:r>
    </w:p>
    <w:p>
      <w:pPr>
        <w:pStyle w:val="ListNumber"/>
        <w:spacing w:after="60" w:line="259" w:lineRule="auto"/>
        <w:jc w:val="left"/>
      </w:pPr>
      <w:r>
        <w:rPr>
          <w:rFonts w:ascii="Liberation Sans" w:hAnsi="Liberation Sans" w:cs="Liberation Sans" w:eastAsia="Liberation Sans"/>
          <w:b w:val="0"/>
          <w:color w:val="1F2937"/>
          <w:sz w:val="21"/>
        </w:rPr>
        <w:t>How comparable are existing autism prevalence and population estimates across countries and methodologies?</w:t>
      </w:r>
    </w:p>
    <w:p>
      <w:pPr>
        <w:pStyle w:val="ListNumber"/>
        <w:spacing w:after="60" w:line="259" w:lineRule="auto"/>
        <w:jc w:val="left"/>
      </w:pPr>
      <w:r>
        <w:rPr>
          <w:rFonts w:ascii="Liberation Sans" w:hAnsi="Liberation Sans" w:cs="Liberation Sans" w:eastAsia="Liberation Sans"/>
          <w:b w:val="0"/>
          <w:color w:val="1F2937"/>
          <w:sz w:val="21"/>
        </w:rPr>
        <w:t>Which populations remain systematically underrepresented in autism research?</w:t>
      </w:r>
    </w:p>
    <w:p>
      <w:pPr>
        <w:pStyle w:val="ListNumber"/>
        <w:spacing w:after="60" w:line="259" w:lineRule="auto"/>
        <w:jc w:val="left"/>
      </w:pPr>
      <w:r>
        <w:rPr>
          <w:rFonts w:ascii="Liberation Sans" w:hAnsi="Liberation Sans" w:cs="Liberation Sans" w:eastAsia="Liberation Sans"/>
          <w:b w:val="0"/>
          <w:color w:val="1F2937"/>
          <w:sz w:val="21"/>
        </w:rPr>
        <w:t>What research infrastructure is required to strengthen autism evidence production in under-researched settings?</w:t>
      </w:r>
    </w:p>
    <w:p>
      <w:pPr>
        <w:pStyle w:val="ListNumber"/>
        <w:spacing w:after="60" w:line="259" w:lineRule="auto"/>
        <w:jc w:val="left"/>
      </w:pPr>
      <w:r>
        <w:rPr>
          <w:rFonts w:ascii="Liberation Sans" w:hAnsi="Liberation Sans" w:cs="Liberation Sans" w:eastAsia="Liberation Sans"/>
          <w:b w:val="0"/>
          <w:color w:val="1F2937"/>
          <w:sz w:val="21"/>
        </w:rPr>
        <w:t>How can autism datasets, indicators and research classifications become more interoperable and comparable?</w:t>
      </w:r>
    </w:p>
    <w:p>
      <w:pPr>
        <w:pStyle w:val="ListNumber"/>
        <w:spacing w:after="60" w:line="259" w:lineRule="auto"/>
        <w:jc w:val="left"/>
      </w:pPr>
      <w:r>
        <w:rPr>
          <w:rFonts w:ascii="Liberation Sans" w:hAnsi="Liberation Sans" w:cs="Liberation Sans" w:eastAsia="Liberation Sans"/>
          <w:b w:val="0"/>
          <w:color w:val="1F2937"/>
          <w:sz w:val="21"/>
        </w:rPr>
        <w:t>How can research findings be synthesised and translated more rapidly for institutional use?</w:t>
      </w:r>
    </w:p>
    <w:p>
      <w:pPr>
        <w:pStyle w:val="Heading2"/>
        <w:jc w:val="left"/>
      </w:pPr>
      <w:r>
        <w:rPr>
          <w:rFonts w:ascii="Liberation Sans" w:hAnsi="Liberation Sans" w:cs="Liberation Sans" w:eastAsia="Liberation Sans"/>
          <w:b/>
          <w:color w:val="174F78"/>
          <w:sz w:val="25"/>
        </w:rPr>
        <w:t>Expected Research Contributions</w:t>
      </w:r>
    </w:p>
    <w:p>
      <w:pPr>
        <w:spacing w:after="120" w:line="276" w:lineRule="auto"/>
        <w:jc w:val="left"/>
      </w:pPr>
      <w:r>
        <w:rPr>
          <w:rFonts w:ascii="Liberation Sans" w:hAnsi="Liberation Sans" w:cs="Liberation Sans" w:eastAsia="Liberation Sans"/>
          <w:b w:val="0"/>
          <w:color w:val="1F2937"/>
          <w:sz w:val="22"/>
        </w:rPr>
        <w:t>GARC may produce evidence maps, systematic reviews, regional research-landscape reports, prevalence analyses, indicator frameworks, country evidence profiles and comparative research datasets.</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8. Research Domain 2 — Identification, Assessment &amp; Personalised Support</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improve evidence concerning timely identification, assessment pathways and person-centred support across different ages, populations and cultural contexts.</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early identification;</w:t>
      </w:r>
    </w:p>
    <w:p>
      <w:pPr>
        <w:pStyle w:val="ListBullet"/>
        <w:spacing w:after="60" w:line="259" w:lineRule="auto"/>
        <w:jc w:val="left"/>
      </w:pPr>
      <w:r>
        <w:rPr>
          <w:rFonts w:ascii="Liberation Sans" w:hAnsi="Liberation Sans" w:cs="Liberation Sans" w:eastAsia="Liberation Sans"/>
          <w:b w:val="0"/>
          <w:color w:val="1F2937"/>
          <w:sz w:val="21"/>
        </w:rPr>
        <w:t>diagnostic pathways;</w:t>
      </w:r>
    </w:p>
    <w:p>
      <w:pPr>
        <w:pStyle w:val="ListBullet"/>
        <w:spacing w:after="60" w:line="259" w:lineRule="auto"/>
        <w:jc w:val="left"/>
      </w:pPr>
      <w:r>
        <w:rPr>
          <w:rFonts w:ascii="Liberation Sans" w:hAnsi="Liberation Sans" w:cs="Liberation Sans" w:eastAsia="Liberation Sans"/>
          <w:b w:val="0"/>
          <w:color w:val="1F2937"/>
          <w:sz w:val="21"/>
        </w:rPr>
        <w:t>late identification;</w:t>
      </w:r>
    </w:p>
    <w:p>
      <w:pPr>
        <w:pStyle w:val="ListBullet"/>
        <w:spacing w:after="60" w:line="259" w:lineRule="auto"/>
        <w:jc w:val="left"/>
      </w:pPr>
      <w:r>
        <w:rPr>
          <w:rFonts w:ascii="Liberation Sans" w:hAnsi="Liberation Sans" w:cs="Liberation Sans" w:eastAsia="Liberation Sans"/>
          <w:b w:val="0"/>
          <w:color w:val="1F2937"/>
          <w:sz w:val="21"/>
        </w:rPr>
        <w:t>identification among girls and women;</w:t>
      </w:r>
    </w:p>
    <w:p>
      <w:pPr>
        <w:pStyle w:val="ListBullet"/>
        <w:spacing w:after="60" w:line="259" w:lineRule="auto"/>
        <w:jc w:val="left"/>
      </w:pPr>
      <w:r>
        <w:rPr>
          <w:rFonts w:ascii="Liberation Sans" w:hAnsi="Liberation Sans" w:cs="Liberation Sans" w:eastAsia="Liberation Sans"/>
          <w:b w:val="0"/>
          <w:color w:val="1F2937"/>
          <w:sz w:val="21"/>
        </w:rPr>
        <w:t>identification among adults;</w:t>
      </w:r>
    </w:p>
    <w:p>
      <w:pPr>
        <w:pStyle w:val="ListBullet"/>
        <w:spacing w:after="60" w:line="259" w:lineRule="auto"/>
        <w:jc w:val="left"/>
      </w:pPr>
      <w:r>
        <w:rPr>
          <w:rFonts w:ascii="Liberation Sans" w:hAnsi="Liberation Sans" w:cs="Liberation Sans" w:eastAsia="Liberation Sans"/>
          <w:b w:val="0"/>
          <w:color w:val="1F2937"/>
          <w:sz w:val="21"/>
        </w:rPr>
        <w:t>culturally adapted assessment;</w:t>
      </w:r>
    </w:p>
    <w:p>
      <w:pPr>
        <w:pStyle w:val="ListBullet"/>
        <w:spacing w:after="60" w:line="259" w:lineRule="auto"/>
        <w:jc w:val="left"/>
      </w:pPr>
      <w:r>
        <w:rPr>
          <w:rFonts w:ascii="Liberation Sans" w:hAnsi="Liberation Sans" w:cs="Liberation Sans" w:eastAsia="Liberation Sans"/>
          <w:b w:val="0"/>
          <w:color w:val="1F2937"/>
          <w:sz w:val="21"/>
        </w:rPr>
        <w:t>communication needs;</w:t>
      </w:r>
    </w:p>
    <w:p>
      <w:pPr>
        <w:pStyle w:val="ListBullet"/>
        <w:spacing w:after="60" w:line="259" w:lineRule="auto"/>
        <w:jc w:val="left"/>
      </w:pPr>
      <w:r>
        <w:rPr>
          <w:rFonts w:ascii="Liberation Sans" w:hAnsi="Liberation Sans" w:cs="Liberation Sans" w:eastAsia="Liberation Sans"/>
          <w:b w:val="0"/>
          <w:color w:val="1F2937"/>
          <w:sz w:val="21"/>
        </w:rPr>
        <w:t>strengths- and needs-based assessment;</w:t>
      </w:r>
    </w:p>
    <w:p>
      <w:pPr>
        <w:pStyle w:val="ListBullet"/>
        <w:spacing w:after="60" w:line="259" w:lineRule="auto"/>
        <w:jc w:val="left"/>
      </w:pPr>
      <w:r>
        <w:rPr>
          <w:rFonts w:ascii="Liberation Sans" w:hAnsi="Liberation Sans" w:cs="Liberation Sans" w:eastAsia="Liberation Sans"/>
          <w:b w:val="0"/>
          <w:color w:val="1F2937"/>
          <w:sz w:val="21"/>
        </w:rPr>
        <w:t>referral systems;</w:t>
      </w:r>
    </w:p>
    <w:p>
      <w:pPr>
        <w:pStyle w:val="ListBullet"/>
        <w:spacing w:after="60" w:line="259" w:lineRule="auto"/>
        <w:jc w:val="left"/>
      </w:pPr>
      <w:r>
        <w:rPr>
          <w:rFonts w:ascii="Liberation Sans" w:hAnsi="Liberation Sans" w:cs="Liberation Sans" w:eastAsia="Liberation Sans"/>
          <w:b w:val="0"/>
          <w:color w:val="1F2937"/>
          <w:sz w:val="21"/>
        </w:rPr>
        <w:t>post-identification support;</w:t>
      </w:r>
    </w:p>
    <w:p>
      <w:pPr>
        <w:pStyle w:val="ListBullet"/>
        <w:spacing w:after="60" w:line="259" w:lineRule="auto"/>
        <w:jc w:val="left"/>
      </w:pPr>
      <w:r>
        <w:rPr>
          <w:rFonts w:ascii="Liberation Sans" w:hAnsi="Liberation Sans" w:cs="Liberation Sans" w:eastAsia="Liberation Sans"/>
          <w:b w:val="0"/>
          <w:color w:val="1F2937"/>
          <w:sz w:val="21"/>
        </w:rPr>
        <w:t>personalised support planning;</w:t>
      </w:r>
    </w:p>
    <w:p>
      <w:pPr>
        <w:pStyle w:val="ListBullet"/>
        <w:spacing w:after="60" w:line="259" w:lineRule="auto"/>
        <w:jc w:val="left"/>
      </w:pPr>
      <w:r>
        <w:rPr>
          <w:rFonts w:ascii="Liberation Sans" w:hAnsi="Liberation Sans" w:cs="Liberation Sans" w:eastAsia="Liberation Sans"/>
          <w:b w:val="0"/>
          <w:color w:val="1F2937"/>
          <w:sz w:val="21"/>
        </w:rPr>
        <w:t>service navigation;</w:t>
      </w:r>
    </w:p>
    <w:p>
      <w:pPr>
        <w:pStyle w:val="ListBullet"/>
        <w:spacing w:after="60" w:line="259" w:lineRule="auto"/>
        <w:jc w:val="left"/>
      </w:pPr>
      <w:r>
        <w:rPr>
          <w:rFonts w:ascii="Liberation Sans" w:hAnsi="Liberation Sans" w:cs="Liberation Sans" w:eastAsia="Liberation Sans"/>
          <w:b w:val="0"/>
          <w:color w:val="1F2937"/>
          <w:sz w:val="21"/>
        </w:rPr>
        <w:t>accessibility of assessment systems.</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What contributes to delayed or missed identification across different populations?</w:t>
      </w:r>
    </w:p>
    <w:p>
      <w:pPr>
        <w:pStyle w:val="ListNumber"/>
        <w:spacing w:after="60" w:line="259" w:lineRule="auto"/>
        <w:jc w:val="left"/>
      </w:pPr>
      <w:r>
        <w:rPr>
          <w:rFonts w:ascii="Liberation Sans" w:hAnsi="Liberation Sans" w:cs="Liberation Sans" w:eastAsia="Liberation Sans"/>
          <w:b w:val="0"/>
          <w:color w:val="1F2937"/>
          <w:sz w:val="21"/>
        </w:rPr>
        <w:t>How can culturally and linguistically appropriate identification pathways be strengthened?</w:t>
      </w:r>
    </w:p>
    <w:p>
      <w:pPr>
        <w:pStyle w:val="ListNumber"/>
        <w:spacing w:after="60" w:line="259" w:lineRule="auto"/>
        <w:jc w:val="left"/>
      </w:pPr>
      <w:r>
        <w:rPr>
          <w:rFonts w:ascii="Liberation Sans" w:hAnsi="Liberation Sans" w:cs="Liberation Sans" w:eastAsia="Liberation Sans"/>
          <w:b w:val="0"/>
          <w:color w:val="1F2937"/>
          <w:sz w:val="21"/>
        </w:rPr>
        <w:t>How can identification systems better recognise autism among adults, women and historically underdiagnosed populations?</w:t>
      </w:r>
    </w:p>
    <w:p>
      <w:pPr>
        <w:pStyle w:val="ListNumber"/>
        <w:spacing w:after="60" w:line="259" w:lineRule="auto"/>
        <w:jc w:val="left"/>
      </w:pPr>
      <w:r>
        <w:rPr>
          <w:rFonts w:ascii="Liberation Sans" w:hAnsi="Liberation Sans" w:cs="Liberation Sans" w:eastAsia="Liberation Sans"/>
          <w:b w:val="0"/>
          <w:color w:val="1F2937"/>
          <w:sz w:val="21"/>
        </w:rPr>
        <w:t>What support should follow identification to improve outcomes for autistic people and families?</w:t>
      </w:r>
    </w:p>
    <w:p>
      <w:pPr>
        <w:pStyle w:val="ListNumber"/>
        <w:spacing w:after="60" w:line="259" w:lineRule="auto"/>
        <w:jc w:val="left"/>
      </w:pPr>
      <w:r>
        <w:rPr>
          <w:rFonts w:ascii="Liberation Sans" w:hAnsi="Liberation Sans" w:cs="Liberation Sans" w:eastAsia="Liberation Sans"/>
          <w:b w:val="0"/>
          <w:color w:val="1F2937"/>
          <w:sz w:val="21"/>
        </w:rPr>
        <w:t>How can strengths, communication preferences and individual support needs be more effectively incorporated into assessment systems?</w:t>
      </w:r>
    </w:p>
    <w:p>
      <w:pPr>
        <w:pStyle w:val="ListNumber"/>
        <w:spacing w:after="60" w:line="259" w:lineRule="auto"/>
        <w:jc w:val="left"/>
      </w:pPr>
      <w:r>
        <w:rPr>
          <w:rFonts w:ascii="Liberation Sans" w:hAnsi="Liberation Sans" w:cs="Liberation Sans" w:eastAsia="Liberation Sans"/>
          <w:b w:val="0"/>
          <w:color w:val="1F2937"/>
          <w:sz w:val="21"/>
        </w:rPr>
        <w:t>Which system-level interventions reduce waiting times and improve continuity between assessment and support?</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9. Research Domain 3 — Health, Wellbeing &amp; Co-occurring Conditions</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strengthen evidence supporting the physical health, mental health, wellbeing and healthcare experiences of autistic people throughout life.</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mental health;</w:t>
      </w:r>
    </w:p>
    <w:p>
      <w:pPr>
        <w:pStyle w:val="ListBullet"/>
        <w:spacing w:after="60" w:line="259" w:lineRule="auto"/>
        <w:jc w:val="left"/>
      </w:pPr>
      <w:r>
        <w:rPr>
          <w:rFonts w:ascii="Liberation Sans" w:hAnsi="Liberation Sans" w:cs="Liberation Sans" w:eastAsia="Liberation Sans"/>
          <w:b w:val="0"/>
          <w:color w:val="1F2937"/>
          <w:sz w:val="21"/>
        </w:rPr>
        <w:t>anxiety and depression;</w:t>
      </w:r>
    </w:p>
    <w:p>
      <w:pPr>
        <w:pStyle w:val="ListBullet"/>
        <w:spacing w:after="60" w:line="259" w:lineRule="auto"/>
        <w:jc w:val="left"/>
      </w:pPr>
      <w:r>
        <w:rPr>
          <w:rFonts w:ascii="Liberation Sans" w:hAnsi="Liberation Sans" w:cs="Liberation Sans" w:eastAsia="Liberation Sans"/>
          <w:b w:val="0"/>
          <w:color w:val="1F2937"/>
          <w:sz w:val="21"/>
        </w:rPr>
        <w:t>physical health;</w:t>
      </w:r>
    </w:p>
    <w:p>
      <w:pPr>
        <w:pStyle w:val="ListBullet"/>
        <w:spacing w:after="60" w:line="259" w:lineRule="auto"/>
        <w:jc w:val="left"/>
      </w:pPr>
      <w:r>
        <w:rPr>
          <w:rFonts w:ascii="Liberation Sans" w:hAnsi="Liberation Sans" w:cs="Liberation Sans" w:eastAsia="Liberation Sans"/>
          <w:b w:val="0"/>
          <w:color w:val="1F2937"/>
          <w:sz w:val="21"/>
        </w:rPr>
        <w:t>epilepsy;</w:t>
      </w:r>
    </w:p>
    <w:p>
      <w:pPr>
        <w:pStyle w:val="ListBullet"/>
        <w:spacing w:after="60" w:line="259" w:lineRule="auto"/>
        <w:jc w:val="left"/>
      </w:pPr>
      <w:r>
        <w:rPr>
          <w:rFonts w:ascii="Liberation Sans" w:hAnsi="Liberation Sans" w:cs="Liberation Sans" w:eastAsia="Liberation Sans"/>
          <w:b w:val="0"/>
          <w:color w:val="1F2937"/>
          <w:sz w:val="21"/>
        </w:rPr>
        <w:t>sleep;</w:t>
      </w:r>
    </w:p>
    <w:p>
      <w:pPr>
        <w:pStyle w:val="ListBullet"/>
        <w:spacing w:after="60" w:line="259" w:lineRule="auto"/>
        <w:jc w:val="left"/>
      </w:pPr>
      <w:r>
        <w:rPr>
          <w:rFonts w:ascii="Liberation Sans" w:hAnsi="Liberation Sans" w:cs="Liberation Sans" w:eastAsia="Liberation Sans"/>
          <w:b w:val="0"/>
          <w:color w:val="1F2937"/>
          <w:sz w:val="21"/>
        </w:rPr>
        <w:t>sensory needs;</w:t>
      </w:r>
    </w:p>
    <w:p>
      <w:pPr>
        <w:pStyle w:val="ListBullet"/>
        <w:spacing w:after="60" w:line="259" w:lineRule="auto"/>
        <w:jc w:val="left"/>
      </w:pPr>
      <w:r>
        <w:rPr>
          <w:rFonts w:ascii="Liberation Sans" w:hAnsi="Liberation Sans" w:cs="Liberation Sans" w:eastAsia="Liberation Sans"/>
          <w:b w:val="0"/>
          <w:color w:val="1F2937"/>
          <w:sz w:val="21"/>
        </w:rPr>
        <w:t>communication in healthcare;</w:t>
      </w:r>
    </w:p>
    <w:p>
      <w:pPr>
        <w:pStyle w:val="ListBullet"/>
        <w:spacing w:after="60" w:line="259" w:lineRule="auto"/>
        <w:jc w:val="left"/>
      </w:pPr>
      <w:r>
        <w:rPr>
          <w:rFonts w:ascii="Liberation Sans" w:hAnsi="Liberation Sans" w:cs="Liberation Sans" w:eastAsia="Liberation Sans"/>
          <w:b w:val="0"/>
          <w:color w:val="1F2937"/>
          <w:sz w:val="21"/>
        </w:rPr>
        <w:t>co-occurring neurodevelopmental conditions;</w:t>
      </w:r>
    </w:p>
    <w:p>
      <w:pPr>
        <w:pStyle w:val="ListBullet"/>
        <w:spacing w:after="60" w:line="259" w:lineRule="auto"/>
        <w:jc w:val="left"/>
      </w:pPr>
      <w:r>
        <w:rPr>
          <w:rFonts w:ascii="Liberation Sans" w:hAnsi="Liberation Sans" w:cs="Liberation Sans" w:eastAsia="Liberation Sans"/>
          <w:b w:val="0"/>
          <w:color w:val="1F2937"/>
          <w:sz w:val="21"/>
        </w:rPr>
        <w:t>healthcare accessibility;</w:t>
      </w:r>
    </w:p>
    <w:p>
      <w:pPr>
        <w:pStyle w:val="ListBullet"/>
        <w:spacing w:after="60" w:line="259" w:lineRule="auto"/>
        <w:jc w:val="left"/>
      </w:pPr>
      <w:r>
        <w:rPr>
          <w:rFonts w:ascii="Liberation Sans" w:hAnsi="Liberation Sans" w:cs="Liberation Sans" w:eastAsia="Liberation Sans"/>
          <w:b w:val="0"/>
          <w:color w:val="1F2937"/>
          <w:sz w:val="21"/>
        </w:rPr>
        <w:t>preventive health;</w:t>
      </w:r>
    </w:p>
    <w:p>
      <w:pPr>
        <w:pStyle w:val="ListBullet"/>
        <w:spacing w:after="60" w:line="259" w:lineRule="auto"/>
        <w:jc w:val="left"/>
      </w:pPr>
      <w:r>
        <w:rPr>
          <w:rFonts w:ascii="Liberation Sans" w:hAnsi="Liberation Sans" w:cs="Liberation Sans" w:eastAsia="Liberation Sans"/>
          <w:b w:val="0"/>
          <w:color w:val="1F2937"/>
          <w:sz w:val="21"/>
        </w:rPr>
        <w:t>health inequalities;</w:t>
      </w:r>
    </w:p>
    <w:p>
      <w:pPr>
        <w:pStyle w:val="ListBullet"/>
        <w:spacing w:after="60" w:line="259" w:lineRule="auto"/>
        <w:jc w:val="left"/>
      </w:pPr>
      <w:r>
        <w:rPr>
          <w:rFonts w:ascii="Liberation Sans" w:hAnsi="Liberation Sans" w:cs="Liberation Sans" w:eastAsia="Liberation Sans"/>
          <w:b w:val="0"/>
          <w:color w:val="1F2937"/>
          <w:sz w:val="21"/>
        </w:rPr>
        <w:t>wellbeing and quality of life;</w:t>
      </w:r>
    </w:p>
    <w:p>
      <w:pPr>
        <w:pStyle w:val="ListBullet"/>
        <w:spacing w:after="60" w:line="259" w:lineRule="auto"/>
        <w:jc w:val="left"/>
      </w:pPr>
      <w:r>
        <w:rPr>
          <w:rFonts w:ascii="Liberation Sans" w:hAnsi="Liberation Sans" w:cs="Liberation Sans" w:eastAsia="Liberation Sans"/>
          <w:b w:val="0"/>
          <w:color w:val="1F2937"/>
          <w:sz w:val="21"/>
        </w:rPr>
        <w:t>health-system navigation;</w:t>
      </w:r>
    </w:p>
    <w:p>
      <w:pPr>
        <w:pStyle w:val="ListBullet"/>
        <w:spacing w:after="60" w:line="259" w:lineRule="auto"/>
        <w:jc w:val="left"/>
      </w:pPr>
      <w:r>
        <w:rPr>
          <w:rFonts w:ascii="Liberation Sans" w:hAnsi="Liberation Sans" w:cs="Liberation Sans" w:eastAsia="Liberation Sans"/>
          <w:b w:val="0"/>
          <w:color w:val="1F2937"/>
          <w:sz w:val="21"/>
        </w:rPr>
        <w:t>ageing and long-term health.</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Which health and wellbeing needs have the greatest effect on quality of life across different stages of life?</w:t>
      </w:r>
    </w:p>
    <w:p>
      <w:pPr>
        <w:pStyle w:val="ListNumber"/>
        <w:spacing w:after="60" w:line="259" w:lineRule="auto"/>
        <w:jc w:val="left"/>
      </w:pPr>
      <w:r>
        <w:rPr>
          <w:rFonts w:ascii="Liberation Sans" w:hAnsi="Liberation Sans" w:cs="Liberation Sans" w:eastAsia="Liberation Sans"/>
          <w:b w:val="0"/>
          <w:color w:val="1F2937"/>
          <w:sz w:val="21"/>
        </w:rPr>
        <w:t>How can healthcare environments and pathways become more accessible to autistic people?</w:t>
      </w:r>
    </w:p>
    <w:p>
      <w:pPr>
        <w:pStyle w:val="ListNumber"/>
        <w:spacing w:after="60" w:line="259" w:lineRule="auto"/>
        <w:jc w:val="left"/>
      </w:pPr>
      <w:r>
        <w:rPr>
          <w:rFonts w:ascii="Liberation Sans" w:hAnsi="Liberation Sans" w:cs="Liberation Sans" w:eastAsia="Liberation Sans"/>
          <w:b w:val="0"/>
          <w:color w:val="1F2937"/>
          <w:sz w:val="21"/>
        </w:rPr>
        <w:t>What approaches improve recognition and support for co-occurring mental-health needs?</w:t>
      </w:r>
    </w:p>
    <w:p>
      <w:pPr>
        <w:pStyle w:val="ListNumber"/>
        <w:spacing w:after="60" w:line="259" w:lineRule="auto"/>
        <w:jc w:val="left"/>
      </w:pPr>
      <w:r>
        <w:rPr>
          <w:rFonts w:ascii="Liberation Sans" w:hAnsi="Liberation Sans" w:cs="Liberation Sans" w:eastAsia="Liberation Sans"/>
          <w:b w:val="0"/>
          <w:color w:val="1F2937"/>
          <w:sz w:val="21"/>
        </w:rPr>
        <w:t>How can health services respond more effectively to communication and sensory needs?</w:t>
      </w:r>
    </w:p>
    <w:p>
      <w:pPr>
        <w:pStyle w:val="ListNumber"/>
        <w:spacing w:after="60" w:line="259" w:lineRule="auto"/>
        <w:jc w:val="left"/>
      </w:pPr>
      <w:r>
        <w:rPr>
          <w:rFonts w:ascii="Liberation Sans" w:hAnsi="Liberation Sans" w:cs="Liberation Sans" w:eastAsia="Liberation Sans"/>
          <w:b w:val="0"/>
          <w:color w:val="1F2937"/>
          <w:sz w:val="21"/>
        </w:rPr>
        <w:t>Which preventable health inequalities affect autistic populations?</w:t>
      </w:r>
    </w:p>
    <w:p>
      <w:pPr>
        <w:pStyle w:val="ListNumber"/>
        <w:spacing w:after="60" w:line="259" w:lineRule="auto"/>
        <w:jc w:val="left"/>
      </w:pPr>
      <w:r>
        <w:rPr>
          <w:rFonts w:ascii="Liberation Sans" w:hAnsi="Liberation Sans" w:cs="Liberation Sans" w:eastAsia="Liberation Sans"/>
          <w:b w:val="0"/>
          <w:color w:val="1F2937"/>
          <w:sz w:val="21"/>
        </w:rPr>
        <w:t>How do health and wellbeing priorities change from childhood through adulthood and ageing?</w:t>
      </w:r>
    </w:p>
    <w:p>
      <w:pPr>
        <w:spacing w:after="120" w:line="276" w:lineRule="auto"/>
        <w:jc w:val="left"/>
      </w:pPr>
      <w:r>
        <w:rPr>
          <w:rFonts w:ascii="Liberation Sans" w:hAnsi="Liberation Sans" w:cs="Liberation Sans" w:eastAsia="Liberation Sans"/>
          <w:b w:val="0"/>
          <w:color w:val="1F2937"/>
          <w:sz w:val="22"/>
        </w:rPr>
        <w:t>Mental health remains one of the strongest community-identified autism research priorities, alongside healthcare accessibility and quality of life.</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10. Research Domain 4 — Education, Inclusion &amp; Life Transitions</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generate evidence that improves participation, inclusion and outcomes through education, adulthood, employment and major life transitions.</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inclusive education;</w:t>
      </w:r>
    </w:p>
    <w:p>
      <w:pPr>
        <w:pStyle w:val="ListBullet"/>
        <w:spacing w:after="60" w:line="259" w:lineRule="auto"/>
        <w:jc w:val="left"/>
      </w:pPr>
      <w:r>
        <w:rPr>
          <w:rFonts w:ascii="Liberation Sans" w:hAnsi="Liberation Sans" w:cs="Liberation Sans" w:eastAsia="Liberation Sans"/>
          <w:b w:val="0"/>
          <w:color w:val="1F2937"/>
          <w:sz w:val="21"/>
        </w:rPr>
        <w:t>school readiness;</w:t>
      </w:r>
    </w:p>
    <w:p>
      <w:pPr>
        <w:pStyle w:val="ListBullet"/>
        <w:spacing w:after="60" w:line="259" w:lineRule="auto"/>
        <w:jc w:val="left"/>
      </w:pPr>
      <w:r>
        <w:rPr>
          <w:rFonts w:ascii="Liberation Sans" w:hAnsi="Liberation Sans" w:cs="Liberation Sans" w:eastAsia="Liberation Sans"/>
          <w:b w:val="0"/>
          <w:color w:val="1F2937"/>
          <w:sz w:val="21"/>
        </w:rPr>
        <w:t>educational environments;</w:t>
      </w:r>
    </w:p>
    <w:p>
      <w:pPr>
        <w:pStyle w:val="ListBullet"/>
        <w:spacing w:after="60" w:line="259" w:lineRule="auto"/>
        <w:jc w:val="left"/>
      </w:pPr>
      <w:r>
        <w:rPr>
          <w:rFonts w:ascii="Liberation Sans" w:hAnsi="Liberation Sans" w:cs="Liberation Sans" w:eastAsia="Liberation Sans"/>
          <w:b w:val="0"/>
          <w:color w:val="1F2937"/>
          <w:sz w:val="21"/>
        </w:rPr>
        <w:t>teacher and professional capability;</w:t>
      </w:r>
    </w:p>
    <w:p>
      <w:pPr>
        <w:pStyle w:val="ListBullet"/>
        <w:spacing w:after="60" w:line="259" w:lineRule="auto"/>
        <w:jc w:val="left"/>
      </w:pPr>
      <w:r>
        <w:rPr>
          <w:rFonts w:ascii="Liberation Sans" w:hAnsi="Liberation Sans" w:cs="Liberation Sans" w:eastAsia="Liberation Sans"/>
          <w:b w:val="0"/>
          <w:color w:val="1F2937"/>
          <w:sz w:val="21"/>
        </w:rPr>
        <w:t>transition between educational stages;</w:t>
      </w:r>
    </w:p>
    <w:p>
      <w:pPr>
        <w:pStyle w:val="ListBullet"/>
        <w:spacing w:after="60" w:line="259" w:lineRule="auto"/>
        <w:jc w:val="left"/>
      </w:pPr>
      <w:r>
        <w:rPr>
          <w:rFonts w:ascii="Liberation Sans" w:hAnsi="Liberation Sans" w:cs="Liberation Sans" w:eastAsia="Liberation Sans"/>
          <w:b w:val="0"/>
          <w:color w:val="1F2937"/>
          <w:sz w:val="21"/>
        </w:rPr>
        <w:t>transition to adulthood;</w:t>
      </w:r>
    </w:p>
    <w:p>
      <w:pPr>
        <w:pStyle w:val="ListBullet"/>
        <w:spacing w:after="60" w:line="259" w:lineRule="auto"/>
        <w:jc w:val="left"/>
      </w:pPr>
      <w:r>
        <w:rPr>
          <w:rFonts w:ascii="Liberation Sans" w:hAnsi="Liberation Sans" w:cs="Liberation Sans" w:eastAsia="Liberation Sans"/>
          <w:b w:val="0"/>
          <w:color w:val="1F2937"/>
          <w:sz w:val="21"/>
        </w:rPr>
        <w:t>higher education;</w:t>
      </w:r>
    </w:p>
    <w:p>
      <w:pPr>
        <w:pStyle w:val="ListBullet"/>
        <w:spacing w:after="60" w:line="259" w:lineRule="auto"/>
        <w:jc w:val="left"/>
      </w:pPr>
      <w:r>
        <w:rPr>
          <w:rFonts w:ascii="Liberation Sans" w:hAnsi="Liberation Sans" w:cs="Liberation Sans" w:eastAsia="Liberation Sans"/>
          <w:b w:val="0"/>
          <w:color w:val="1F2937"/>
          <w:sz w:val="21"/>
        </w:rPr>
        <w:t>vocational development;</w:t>
      </w:r>
    </w:p>
    <w:p>
      <w:pPr>
        <w:pStyle w:val="ListBullet"/>
        <w:spacing w:after="60" w:line="259" w:lineRule="auto"/>
        <w:jc w:val="left"/>
      </w:pPr>
      <w:r>
        <w:rPr>
          <w:rFonts w:ascii="Liberation Sans" w:hAnsi="Liberation Sans" w:cs="Liberation Sans" w:eastAsia="Liberation Sans"/>
          <w:b w:val="0"/>
          <w:color w:val="1F2937"/>
          <w:sz w:val="21"/>
        </w:rPr>
        <w:t>employment;</w:t>
      </w:r>
    </w:p>
    <w:p>
      <w:pPr>
        <w:pStyle w:val="ListBullet"/>
        <w:spacing w:after="60" w:line="259" w:lineRule="auto"/>
        <w:jc w:val="left"/>
      </w:pPr>
      <w:r>
        <w:rPr>
          <w:rFonts w:ascii="Liberation Sans" w:hAnsi="Liberation Sans" w:cs="Liberation Sans" w:eastAsia="Liberation Sans"/>
          <w:b w:val="0"/>
          <w:color w:val="1F2937"/>
          <w:sz w:val="21"/>
        </w:rPr>
        <w:t>workplace inclusion;</w:t>
      </w:r>
    </w:p>
    <w:p>
      <w:pPr>
        <w:pStyle w:val="ListBullet"/>
        <w:spacing w:after="60" w:line="259" w:lineRule="auto"/>
        <w:jc w:val="left"/>
      </w:pPr>
      <w:r>
        <w:rPr>
          <w:rFonts w:ascii="Liberation Sans" w:hAnsi="Liberation Sans" w:cs="Liberation Sans" w:eastAsia="Liberation Sans"/>
          <w:b w:val="0"/>
          <w:color w:val="1F2937"/>
          <w:sz w:val="21"/>
        </w:rPr>
        <w:t>independent and supported living;</w:t>
      </w:r>
    </w:p>
    <w:p>
      <w:pPr>
        <w:pStyle w:val="ListBullet"/>
        <w:spacing w:after="60" w:line="259" w:lineRule="auto"/>
        <w:jc w:val="left"/>
      </w:pPr>
      <w:r>
        <w:rPr>
          <w:rFonts w:ascii="Liberation Sans" w:hAnsi="Liberation Sans" w:cs="Liberation Sans" w:eastAsia="Liberation Sans"/>
          <w:b w:val="0"/>
          <w:color w:val="1F2937"/>
          <w:sz w:val="21"/>
        </w:rPr>
        <w:t>adult participation;</w:t>
      </w:r>
    </w:p>
    <w:p>
      <w:pPr>
        <w:pStyle w:val="ListBullet"/>
        <w:spacing w:after="60" w:line="259" w:lineRule="auto"/>
        <w:jc w:val="left"/>
      </w:pPr>
      <w:r>
        <w:rPr>
          <w:rFonts w:ascii="Liberation Sans" w:hAnsi="Liberation Sans" w:cs="Liberation Sans" w:eastAsia="Liberation Sans"/>
          <w:b w:val="0"/>
          <w:color w:val="1F2937"/>
          <w:sz w:val="21"/>
        </w:rPr>
        <w:t>ageing;</w:t>
      </w:r>
    </w:p>
    <w:p>
      <w:pPr>
        <w:pStyle w:val="ListBullet"/>
        <w:spacing w:after="60" w:line="259" w:lineRule="auto"/>
        <w:jc w:val="left"/>
      </w:pPr>
      <w:r>
        <w:rPr>
          <w:rFonts w:ascii="Liberation Sans" w:hAnsi="Liberation Sans" w:cs="Liberation Sans" w:eastAsia="Liberation Sans"/>
          <w:b w:val="0"/>
          <w:color w:val="1F2937"/>
          <w:sz w:val="21"/>
        </w:rPr>
        <w:t>community integration.</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Which educational environments and supports are associated with better outcomes for autistic learners?</w:t>
      </w:r>
    </w:p>
    <w:p>
      <w:pPr>
        <w:pStyle w:val="ListNumber"/>
        <w:spacing w:after="60" w:line="259" w:lineRule="auto"/>
        <w:jc w:val="left"/>
      </w:pPr>
      <w:r>
        <w:rPr>
          <w:rFonts w:ascii="Liberation Sans" w:hAnsi="Liberation Sans" w:cs="Liberation Sans" w:eastAsia="Liberation Sans"/>
          <w:b w:val="0"/>
          <w:color w:val="1F2937"/>
          <w:sz w:val="21"/>
        </w:rPr>
        <w:t>How can transitions between school stages and into adulthood be improved?</w:t>
      </w:r>
    </w:p>
    <w:p>
      <w:pPr>
        <w:pStyle w:val="ListNumber"/>
        <w:spacing w:after="60" w:line="259" w:lineRule="auto"/>
        <w:jc w:val="left"/>
      </w:pPr>
      <w:r>
        <w:rPr>
          <w:rFonts w:ascii="Liberation Sans" w:hAnsi="Liberation Sans" w:cs="Liberation Sans" w:eastAsia="Liberation Sans"/>
          <w:b w:val="0"/>
          <w:color w:val="1F2937"/>
          <w:sz w:val="21"/>
        </w:rPr>
        <w:t>What factors enable successful participation in higher education and vocational pathways?</w:t>
      </w:r>
    </w:p>
    <w:p>
      <w:pPr>
        <w:pStyle w:val="ListNumber"/>
        <w:spacing w:after="60" w:line="259" w:lineRule="auto"/>
        <w:jc w:val="left"/>
      </w:pPr>
      <w:r>
        <w:rPr>
          <w:rFonts w:ascii="Liberation Sans" w:hAnsi="Liberation Sans" w:cs="Liberation Sans" w:eastAsia="Liberation Sans"/>
          <w:b w:val="0"/>
          <w:color w:val="1F2937"/>
          <w:sz w:val="21"/>
        </w:rPr>
        <w:t>Which employment practices improve access, retention and meaningful participation?</w:t>
      </w:r>
    </w:p>
    <w:p>
      <w:pPr>
        <w:pStyle w:val="ListNumber"/>
        <w:spacing w:after="60" w:line="259" w:lineRule="auto"/>
        <w:jc w:val="left"/>
      </w:pPr>
      <w:r>
        <w:rPr>
          <w:rFonts w:ascii="Liberation Sans" w:hAnsi="Liberation Sans" w:cs="Liberation Sans" w:eastAsia="Liberation Sans"/>
          <w:b w:val="0"/>
          <w:color w:val="1F2937"/>
          <w:sz w:val="21"/>
        </w:rPr>
        <w:t>How should services evolve as autistic people move from child-centred to adult systems?</w:t>
      </w:r>
    </w:p>
    <w:p>
      <w:pPr>
        <w:pStyle w:val="ListNumber"/>
        <w:spacing w:after="60" w:line="259" w:lineRule="auto"/>
        <w:jc w:val="left"/>
      </w:pPr>
      <w:r>
        <w:rPr>
          <w:rFonts w:ascii="Liberation Sans" w:hAnsi="Liberation Sans" w:cs="Liberation Sans" w:eastAsia="Liberation Sans"/>
          <w:b w:val="0"/>
          <w:color w:val="1F2937"/>
          <w:sz w:val="21"/>
        </w:rPr>
        <w:t>Which environmental or institutional adaptations improve long-term participation and independence?</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11. Research Domain 5 — Families, Communities &amp; Quality of Life</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understand and strengthen the family, community and social environments that influence wellbeing and participation.</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family support;</w:t>
      </w:r>
    </w:p>
    <w:p>
      <w:pPr>
        <w:pStyle w:val="ListBullet"/>
        <w:spacing w:after="60" w:line="259" w:lineRule="auto"/>
        <w:jc w:val="left"/>
      </w:pPr>
      <w:r>
        <w:rPr>
          <w:rFonts w:ascii="Liberation Sans" w:hAnsi="Liberation Sans" w:cs="Liberation Sans" w:eastAsia="Liberation Sans"/>
          <w:b w:val="0"/>
          <w:color w:val="1F2937"/>
          <w:sz w:val="21"/>
        </w:rPr>
        <w:t>caregiver wellbeing;</w:t>
      </w:r>
    </w:p>
    <w:p>
      <w:pPr>
        <w:pStyle w:val="ListBullet"/>
        <w:spacing w:after="60" w:line="259" w:lineRule="auto"/>
        <w:jc w:val="left"/>
      </w:pPr>
      <w:r>
        <w:rPr>
          <w:rFonts w:ascii="Liberation Sans" w:hAnsi="Liberation Sans" w:cs="Liberation Sans" w:eastAsia="Liberation Sans"/>
          <w:b w:val="0"/>
          <w:color w:val="1F2937"/>
          <w:sz w:val="21"/>
        </w:rPr>
        <w:t>sibling experiences;</w:t>
      </w:r>
    </w:p>
    <w:p>
      <w:pPr>
        <w:pStyle w:val="ListBullet"/>
        <w:spacing w:after="60" w:line="259" w:lineRule="auto"/>
        <w:jc w:val="left"/>
      </w:pPr>
      <w:r>
        <w:rPr>
          <w:rFonts w:ascii="Liberation Sans" w:hAnsi="Liberation Sans" w:cs="Liberation Sans" w:eastAsia="Liberation Sans"/>
          <w:b w:val="0"/>
          <w:color w:val="1F2937"/>
          <w:sz w:val="21"/>
        </w:rPr>
        <w:t>family navigation of services;</w:t>
      </w:r>
    </w:p>
    <w:p>
      <w:pPr>
        <w:pStyle w:val="ListBullet"/>
        <w:spacing w:after="60" w:line="259" w:lineRule="auto"/>
        <w:jc w:val="left"/>
      </w:pPr>
      <w:r>
        <w:rPr>
          <w:rFonts w:ascii="Liberation Sans" w:hAnsi="Liberation Sans" w:cs="Liberation Sans" w:eastAsia="Liberation Sans"/>
          <w:b w:val="0"/>
          <w:color w:val="1F2937"/>
          <w:sz w:val="21"/>
        </w:rPr>
        <w:t>community inclusion;</w:t>
      </w:r>
    </w:p>
    <w:p>
      <w:pPr>
        <w:pStyle w:val="ListBullet"/>
        <w:spacing w:after="60" w:line="259" w:lineRule="auto"/>
        <w:jc w:val="left"/>
      </w:pPr>
      <w:r>
        <w:rPr>
          <w:rFonts w:ascii="Liberation Sans" w:hAnsi="Liberation Sans" w:cs="Liberation Sans" w:eastAsia="Liberation Sans"/>
          <w:b w:val="0"/>
          <w:color w:val="1F2937"/>
          <w:sz w:val="21"/>
        </w:rPr>
        <w:t>accessible environments;</w:t>
      </w:r>
    </w:p>
    <w:p>
      <w:pPr>
        <w:pStyle w:val="ListBullet"/>
        <w:spacing w:after="60" w:line="259" w:lineRule="auto"/>
        <w:jc w:val="left"/>
      </w:pPr>
      <w:r>
        <w:rPr>
          <w:rFonts w:ascii="Liberation Sans" w:hAnsi="Liberation Sans" w:cs="Liberation Sans" w:eastAsia="Liberation Sans"/>
          <w:b w:val="0"/>
          <w:color w:val="1F2937"/>
          <w:sz w:val="21"/>
        </w:rPr>
        <w:t>social participation;</w:t>
      </w:r>
    </w:p>
    <w:p>
      <w:pPr>
        <w:pStyle w:val="ListBullet"/>
        <w:spacing w:after="60" w:line="259" w:lineRule="auto"/>
        <w:jc w:val="left"/>
      </w:pPr>
      <w:r>
        <w:rPr>
          <w:rFonts w:ascii="Liberation Sans" w:hAnsi="Liberation Sans" w:cs="Liberation Sans" w:eastAsia="Liberation Sans"/>
          <w:b w:val="0"/>
          <w:color w:val="1F2937"/>
          <w:sz w:val="21"/>
        </w:rPr>
        <w:t>stigma and attitudes;</w:t>
      </w:r>
    </w:p>
    <w:p>
      <w:pPr>
        <w:pStyle w:val="ListBullet"/>
        <w:spacing w:after="60" w:line="259" w:lineRule="auto"/>
        <w:jc w:val="left"/>
      </w:pPr>
      <w:r>
        <w:rPr>
          <w:rFonts w:ascii="Liberation Sans" w:hAnsi="Liberation Sans" w:cs="Liberation Sans" w:eastAsia="Liberation Sans"/>
          <w:b w:val="0"/>
          <w:color w:val="1F2937"/>
          <w:sz w:val="21"/>
        </w:rPr>
        <w:t>quality of life;</w:t>
      </w:r>
    </w:p>
    <w:p>
      <w:pPr>
        <w:pStyle w:val="ListBullet"/>
        <w:spacing w:after="60" w:line="259" w:lineRule="auto"/>
        <w:jc w:val="left"/>
      </w:pPr>
      <w:r>
        <w:rPr>
          <w:rFonts w:ascii="Liberation Sans" w:hAnsi="Liberation Sans" w:cs="Liberation Sans" w:eastAsia="Liberation Sans"/>
          <w:b w:val="0"/>
          <w:color w:val="1F2937"/>
          <w:sz w:val="21"/>
        </w:rPr>
        <w:t>autonomy and self-determination;</w:t>
      </w:r>
    </w:p>
    <w:p>
      <w:pPr>
        <w:pStyle w:val="ListBullet"/>
        <w:spacing w:after="60" w:line="259" w:lineRule="auto"/>
        <w:jc w:val="left"/>
      </w:pPr>
      <w:r>
        <w:rPr>
          <w:rFonts w:ascii="Liberation Sans" w:hAnsi="Liberation Sans" w:cs="Liberation Sans" w:eastAsia="Liberation Sans"/>
          <w:b w:val="0"/>
          <w:color w:val="1F2937"/>
          <w:sz w:val="21"/>
        </w:rPr>
        <w:t>safeguarding;</w:t>
      </w:r>
    </w:p>
    <w:p>
      <w:pPr>
        <w:pStyle w:val="ListBullet"/>
        <w:spacing w:after="60" w:line="259" w:lineRule="auto"/>
        <w:jc w:val="left"/>
      </w:pPr>
      <w:r>
        <w:rPr>
          <w:rFonts w:ascii="Liberation Sans" w:hAnsi="Liberation Sans" w:cs="Liberation Sans" w:eastAsia="Liberation Sans"/>
          <w:b w:val="0"/>
          <w:color w:val="1F2937"/>
          <w:sz w:val="21"/>
        </w:rPr>
        <w:t>community knowledge;</w:t>
      </w:r>
    </w:p>
    <w:p>
      <w:pPr>
        <w:pStyle w:val="ListBullet"/>
        <w:spacing w:after="60" w:line="259" w:lineRule="auto"/>
        <w:jc w:val="left"/>
      </w:pPr>
      <w:r>
        <w:rPr>
          <w:rFonts w:ascii="Liberation Sans" w:hAnsi="Liberation Sans" w:cs="Liberation Sans" w:eastAsia="Liberation Sans"/>
          <w:b w:val="0"/>
          <w:color w:val="1F2937"/>
          <w:sz w:val="21"/>
        </w:rPr>
        <w:t>culturally responsive support;</w:t>
      </w:r>
    </w:p>
    <w:p>
      <w:pPr>
        <w:pStyle w:val="ListBullet"/>
        <w:spacing w:after="60" w:line="259" w:lineRule="auto"/>
        <w:jc w:val="left"/>
      </w:pPr>
      <w:r>
        <w:rPr>
          <w:rFonts w:ascii="Liberation Sans" w:hAnsi="Liberation Sans" w:cs="Liberation Sans" w:eastAsia="Liberation Sans"/>
          <w:b w:val="0"/>
          <w:color w:val="1F2937"/>
          <w:sz w:val="21"/>
        </w:rPr>
        <w:t>lived-experience outcomes.</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What forms of family support create meaningful improvements in family and autistic people's wellbeing?</w:t>
      </w:r>
    </w:p>
    <w:p>
      <w:pPr>
        <w:pStyle w:val="ListNumber"/>
        <w:spacing w:after="60" w:line="259" w:lineRule="auto"/>
        <w:jc w:val="left"/>
      </w:pPr>
      <w:r>
        <w:rPr>
          <w:rFonts w:ascii="Liberation Sans" w:hAnsi="Liberation Sans" w:cs="Liberation Sans" w:eastAsia="Liberation Sans"/>
          <w:b w:val="0"/>
          <w:color w:val="1F2937"/>
          <w:sz w:val="21"/>
        </w:rPr>
        <w:t>Which outcomes are most important to autistic people themselves?</w:t>
      </w:r>
    </w:p>
    <w:p>
      <w:pPr>
        <w:pStyle w:val="ListNumber"/>
        <w:spacing w:after="60" w:line="259" w:lineRule="auto"/>
        <w:jc w:val="left"/>
      </w:pPr>
      <w:r>
        <w:rPr>
          <w:rFonts w:ascii="Liberation Sans" w:hAnsi="Liberation Sans" w:cs="Liberation Sans" w:eastAsia="Liberation Sans"/>
          <w:b w:val="0"/>
          <w:color w:val="1F2937"/>
          <w:sz w:val="21"/>
        </w:rPr>
        <w:t>How can communities and public environments become more accessible and inclusive?</w:t>
      </w:r>
    </w:p>
    <w:p>
      <w:pPr>
        <w:pStyle w:val="ListNumber"/>
        <w:spacing w:after="60" w:line="259" w:lineRule="auto"/>
        <w:jc w:val="left"/>
      </w:pPr>
      <w:r>
        <w:rPr>
          <w:rFonts w:ascii="Liberation Sans" w:hAnsi="Liberation Sans" w:cs="Liberation Sans" w:eastAsia="Liberation Sans"/>
          <w:b w:val="0"/>
          <w:color w:val="1F2937"/>
          <w:sz w:val="21"/>
        </w:rPr>
        <w:t>Which factors contribute to stigma, exclusion or reduced participation?</w:t>
      </w:r>
    </w:p>
    <w:p>
      <w:pPr>
        <w:pStyle w:val="ListNumber"/>
        <w:spacing w:after="60" w:line="259" w:lineRule="auto"/>
        <w:jc w:val="left"/>
      </w:pPr>
      <w:r>
        <w:rPr>
          <w:rFonts w:ascii="Liberation Sans" w:hAnsi="Liberation Sans" w:cs="Liberation Sans" w:eastAsia="Liberation Sans"/>
          <w:b w:val="0"/>
          <w:color w:val="1F2937"/>
          <w:sz w:val="21"/>
        </w:rPr>
        <w:t>How can families navigate fragmented health, education and social-service systems more effectively?</w:t>
      </w:r>
    </w:p>
    <w:p>
      <w:pPr>
        <w:pStyle w:val="ListNumber"/>
        <w:spacing w:after="60" w:line="259" w:lineRule="auto"/>
        <w:jc w:val="left"/>
      </w:pPr>
      <w:r>
        <w:rPr>
          <w:rFonts w:ascii="Liberation Sans" w:hAnsi="Liberation Sans" w:cs="Liberation Sans" w:eastAsia="Liberation Sans"/>
          <w:b w:val="0"/>
          <w:color w:val="1F2937"/>
          <w:sz w:val="21"/>
        </w:rPr>
        <w:t>How should quality-of-life outcomes be defined and measured across diverse autistic populations?</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12. Research Domain 6 — Services, Policy, Workforce &amp; System Performance</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strengthen the design, coordination, quality and performance of autism-related services and institutional systems.</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national autism strategies;</w:t>
      </w:r>
    </w:p>
    <w:p>
      <w:pPr>
        <w:pStyle w:val="ListBullet"/>
        <w:spacing w:after="60" w:line="259" w:lineRule="auto"/>
        <w:jc w:val="left"/>
      </w:pPr>
      <w:r>
        <w:rPr>
          <w:rFonts w:ascii="Liberation Sans" w:hAnsi="Liberation Sans" w:cs="Liberation Sans" w:eastAsia="Liberation Sans"/>
          <w:b w:val="0"/>
          <w:color w:val="1F2937"/>
          <w:sz w:val="21"/>
        </w:rPr>
        <w:t>policy design;</w:t>
      </w:r>
    </w:p>
    <w:p>
      <w:pPr>
        <w:pStyle w:val="ListBullet"/>
        <w:spacing w:after="60" w:line="259" w:lineRule="auto"/>
        <w:jc w:val="left"/>
      </w:pPr>
      <w:r>
        <w:rPr>
          <w:rFonts w:ascii="Liberation Sans" w:hAnsi="Liberation Sans" w:cs="Liberation Sans" w:eastAsia="Liberation Sans"/>
          <w:b w:val="0"/>
          <w:color w:val="1F2937"/>
          <w:sz w:val="21"/>
        </w:rPr>
        <w:t>service mapping;</w:t>
      </w:r>
    </w:p>
    <w:p>
      <w:pPr>
        <w:pStyle w:val="ListBullet"/>
        <w:spacing w:after="60" w:line="259" w:lineRule="auto"/>
        <w:jc w:val="left"/>
      </w:pPr>
      <w:r>
        <w:rPr>
          <w:rFonts w:ascii="Liberation Sans" w:hAnsi="Liberation Sans" w:cs="Liberation Sans" w:eastAsia="Liberation Sans"/>
          <w:b w:val="0"/>
          <w:color w:val="1F2937"/>
          <w:sz w:val="21"/>
        </w:rPr>
        <w:t>service accessibility;</w:t>
      </w:r>
    </w:p>
    <w:p>
      <w:pPr>
        <w:pStyle w:val="ListBullet"/>
        <w:spacing w:after="60" w:line="259" w:lineRule="auto"/>
        <w:jc w:val="left"/>
      </w:pPr>
      <w:r>
        <w:rPr>
          <w:rFonts w:ascii="Liberation Sans" w:hAnsi="Liberation Sans" w:cs="Liberation Sans" w:eastAsia="Liberation Sans"/>
          <w:b w:val="0"/>
          <w:color w:val="1F2937"/>
          <w:sz w:val="21"/>
        </w:rPr>
        <w:t>waiting times and pathways;</w:t>
      </w:r>
    </w:p>
    <w:p>
      <w:pPr>
        <w:pStyle w:val="ListBullet"/>
        <w:spacing w:after="60" w:line="259" w:lineRule="auto"/>
        <w:jc w:val="left"/>
      </w:pPr>
      <w:r>
        <w:rPr>
          <w:rFonts w:ascii="Liberation Sans" w:hAnsi="Liberation Sans" w:cs="Liberation Sans" w:eastAsia="Liberation Sans"/>
          <w:b w:val="0"/>
          <w:color w:val="1F2937"/>
          <w:sz w:val="21"/>
        </w:rPr>
        <w:t>integrated service models;</w:t>
      </w:r>
    </w:p>
    <w:p>
      <w:pPr>
        <w:pStyle w:val="ListBullet"/>
        <w:spacing w:after="60" w:line="259" w:lineRule="auto"/>
        <w:jc w:val="left"/>
      </w:pPr>
      <w:r>
        <w:rPr>
          <w:rFonts w:ascii="Liberation Sans" w:hAnsi="Liberation Sans" w:cs="Liberation Sans" w:eastAsia="Liberation Sans"/>
          <w:b w:val="0"/>
          <w:color w:val="1F2937"/>
          <w:sz w:val="21"/>
        </w:rPr>
        <w:t>workforce capability;</w:t>
      </w:r>
    </w:p>
    <w:p>
      <w:pPr>
        <w:pStyle w:val="ListBullet"/>
        <w:spacing w:after="60" w:line="259" w:lineRule="auto"/>
        <w:jc w:val="left"/>
      </w:pPr>
      <w:r>
        <w:rPr>
          <w:rFonts w:ascii="Liberation Sans" w:hAnsi="Liberation Sans" w:cs="Liberation Sans" w:eastAsia="Liberation Sans"/>
          <w:b w:val="0"/>
          <w:color w:val="1F2937"/>
          <w:sz w:val="21"/>
        </w:rPr>
        <w:t>professional competencies;</w:t>
      </w:r>
    </w:p>
    <w:p>
      <w:pPr>
        <w:pStyle w:val="ListBullet"/>
        <w:spacing w:after="60" w:line="259" w:lineRule="auto"/>
        <w:jc w:val="left"/>
      </w:pPr>
      <w:r>
        <w:rPr>
          <w:rFonts w:ascii="Liberation Sans" w:hAnsi="Liberation Sans" w:cs="Liberation Sans" w:eastAsia="Liberation Sans"/>
          <w:b w:val="0"/>
          <w:color w:val="1F2937"/>
          <w:sz w:val="21"/>
        </w:rPr>
        <w:t>quality standards;</w:t>
      </w:r>
    </w:p>
    <w:p>
      <w:pPr>
        <w:pStyle w:val="ListBullet"/>
        <w:spacing w:after="60" w:line="259" w:lineRule="auto"/>
        <w:jc w:val="left"/>
      </w:pPr>
      <w:r>
        <w:rPr>
          <w:rFonts w:ascii="Liberation Sans" w:hAnsi="Liberation Sans" w:cs="Liberation Sans" w:eastAsia="Liberation Sans"/>
          <w:b w:val="0"/>
          <w:color w:val="1F2937"/>
          <w:sz w:val="21"/>
        </w:rPr>
        <w:t>institutional readiness;</w:t>
      </w:r>
    </w:p>
    <w:p>
      <w:pPr>
        <w:pStyle w:val="ListBullet"/>
        <w:spacing w:after="60" w:line="259" w:lineRule="auto"/>
        <w:jc w:val="left"/>
      </w:pPr>
      <w:r>
        <w:rPr>
          <w:rFonts w:ascii="Liberation Sans" w:hAnsi="Liberation Sans" w:cs="Liberation Sans" w:eastAsia="Liberation Sans"/>
          <w:b w:val="0"/>
          <w:color w:val="1F2937"/>
          <w:sz w:val="21"/>
        </w:rPr>
        <w:t>service benchmarking;</w:t>
      </w:r>
    </w:p>
    <w:p>
      <w:pPr>
        <w:pStyle w:val="ListBullet"/>
        <w:spacing w:after="60" w:line="259" w:lineRule="auto"/>
        <w:jc w:val="left"/>
      </w:pPr>
      <w:r>
        <w:rPr>
          <w:rFonts w:ascii="Liberation Sans" w:hAnsi="Liberation Sans" w:cs="Liberation Sans" w:eastAsia="Liberation Sans"/>
          <w:b w:val="0"/>
          <w:color w:val="1F2937"/>
          <w:sz w:val="21"/>
        </w:rPr>
        <w:t>program evaluation;</w:t>
      </w:r>
    </w:p>
    <w:p>
      <w:pPr>
        <w:pStyle w:val="ListBullet"/>
        <w:spacing w:after="60" w:line="259" w:lineRule="auto"/>
        <w:jc w:val="left"/>
      </w:pPr>
      <w:r>
        <w:rPr>
          <w:rFonts w:ascii="Liberation Sans" w:hAnsi="Liberation Sans" w:cs="Liberation Sans" w:eastAsia="Liberation Sans"/>
          <w:b w:val="0"/>
          <w:color w:val="1F2937"/>
          <w:sz w:val="21"/>
        </w:rPr>
        <w:t>financing and resource allocation;</w:t>
      </w:r>
    </w:p>
    <w:p>
      <w:pPr>
        <w:pStyle w:val="ListBullet"/>
        <w:spacing w:after="60" w:line="259" w:lineRule="auto"/>
        <w:jc w:val="left"/>
      </w:pPr>
      <w:r>
        <w:rPr>
          <w:rFonts w:ascii="Liberation Sans" w:hAnsi="Liberation Sans" w:cs="Liberation Sans" w:eastAsia="Liberation Sans"/>
          <w:b w:val="0"/>
          <w:color w:val="1F2937"/>
          <w:sz w:val="21"/>
        </w:rPr>
        <w:t>cross-sector coordination;</w:t>
      </w:r>
    </w:p>
    <w:p>
      <w:pPr>
        <w:pStyle w:val="ListBullet"/>
        <w:spacing w:after="60" w:line="259" w:lineRule="auto"/>
        <w:jc w:val="left"/>
      </w:pPr>
      <w:r>
        <w:rPr>
          <w:rFonts w:ascii="Liberation Sans" w:hAnsi="Liberation Sans" w:cs="Liberation Sans" w:eastAsia="Liberation Sans"/>
          <w:b w:val="0"/>
          <w:color w:val="1F2937"/>
          <w:sz w:val="21"/>
        </w:rPr>
        <w:t>outcomes measurement;</w:t>
      </w:r>
    </w:p>
    <w:p>
      <w:pPr>
        <w:pStyle w:val="ListBullet"/>
        <w:spacing w:after="60" w:line="259" w:lineRule="auto"/>
        <w:jc w:val="left"/>
      </w:pPr>
      <w:r>
        <w:rPr>
          <w:rFonts w:ascii="Liberation Sans" w:hAnsi="Liberation Sans" w:cs="Liberation Sans" w:eastAsia="Liberation Sans"/>
          <w:b w:val="0"/>
          <w:color w:val="1F2937"/>
          <w:sz w:val="21"/>
        </w:rPr>
        <w:t>implementation science.</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What constitutes a high-performing autism service system?</w:t>
      </w:r>
    </w:p>
    <w:p>
      <w:pPr>
        <w:pStyle w:val="ListNumber"/>
        <w:spacing w:after="60" w:line="259" w:lineRule="auto"/>
        <w:jc w:val="left"/>
      </w:pPr>
      <w:r>
        <w:rPr>
          <w:rFonts w:ascii="Liberation Sans" w:hAnsi="Liberation Sans" w:cs="Liberation Sans" w:eastAsia="Liberation Sans"/>
          <w:b w:val="0"/>
          <w:color w:val="1F2937"/>
          <w:sz w:val="21"/>
        </w:rPr>
        <w:t>Which service gaps have the greatest impact on autistic people and families?</w:t>
      </w:r>
    </w:p>
    <w:p>
      <w:pPr>
        <w:pStyle w:val="ListNumber"/>
        <w:spacing w:after="60" w:line="259" w:lineRule="auto"/>
        <w:jc w:val="left"/>
      </w:pPr>
      <w:r>
        <w:rPr>
          <w:rFonts w:ascii="Liberation Sans" w:hAnsi="Liberation Sans" w:cs="Liberation Sans" w:eastAsia="Liberation Sans"/>
          <w:b w:val="0"/>
          <w:color w:val="1F2937"/>
          <w:sz w:val="21"/>
        </w:rPr>
        <w:t>How can health, education, social-care and employment systems coordinate more effectively?</w:t>
      </w:r>
    </w:p>
    <w:p>
      <w:pPr>
        <w:pStyle w:val="ListNumber"/>
        <w:spacing w:after="60" w:line="259" w:lineRule="auto"/>
        <w:jc w:val="left"/>
      </w:pPr>
      <w:r>
        <w:rPr>
          <w:rFonts w:ascii="Liberation Sans" w:hAnsi="Liberation Sans" w:cs="Liberation Sans" w:eastAsia="Liberation Sans"/>
          <w:b w:val="0"/>
          <w:color w:val="1F2937"/>
          <w:sz w:val="21"/>
        </w:rPr>
        <w:t>Which workforce capabilities are most important for sustainable service quality?</w:t>
      </w:r>
    </w:p>
    <w:p>
      <w:pPr>
        <w:pStyle w:val="ListNumber"/>
        <w:spacing w:after="60" w:line="259" w:lineRule="auto"/>
        <w:jc w:val="left"/>
      </w:pPr>
      <w:r>
        <w:rPr>
          <w:rFonts w:ascii="Liberation Sans" w:hAnsi="Liberation Sans" w:cs="Liberation Sans" w:eastAsia="Liberation Sans"/>
          <w:b w:val="0"/>
          <w:color w:val="1F2937"/>
          <w:sz w:val="21"/>
        </w:rPr>
        <w:t>How can governments and institutions evaluate autism strategies and programs using measurable indicators?</w:t>
      </w:r>
    </w:p>
    <w:p>
      <w:pPr>
        <w:pStyle w:val="ListNumber"/>
        <w:spacing w:after="60" w:line="259" w:lineRule="auto"/>
        <w:jc w:val="left"/>
      </w:pPr>
      <w:r>
        <w:rPr>
          <w:rFonts w:ascii="Liberation Sans" w:hAnsi="Liberation Sans" w:cs="Liberation Sans" w:eastAsia="Liberation Sans"/>
          <w:b w:val="0"/>
          <w:color w:val="1F2937"/>
          <w:sz w:val="21"/>
        </w:rPr>
        <w:t>Which service models offer the strongest combination of accessibility, quality, sustainability and outcomes?</w:t>
      </w:r>
    </w:p>
    <w:p>
      <w:pPr>
        <w:pStyle w:val="ListNumber"/>
        <w:spacing w:after="60" w:line="259" w:lineRule="auto"/>
        <w:jc w:val="left"/>
      </w:pPr>
      <w:r>
        <w:rPr>
          <w:rFonts w:ascii="Liberation Sans" w:hAnsi="Liberation Sans" w:cs="Liberation Sans" w:eastAsia="Liberation Sans"/>
          <w:b w:val="0"/>
          <w:color w:val="1F2937"/>
          <w:sz w:val="21"/>
        </w:rPr>
        <w:t>How can research findings move more rapidly into institutional policy and operating practice?</w:t>
      </w:r>
    </w:p>
    <w:p>
      <w:pPr>
        <w:spacing w:after="120" w:line="276" w:lineRule="auto"/>
        <w:jc w:val="left"/>
      </w:pPr>
      <w:r>
        <w:rPr>
          <w:rFonts w:ascii="Liberation Sans" w:hAnsi="Liberation Sans" w:cs="Liberation Sans" w:eastAsia="Liberation Sans"/>
          <w:b w:val="0"/>
          <w:color w:val="1F2937"/>
          <w:sz w:val="22"/>
        </w:rPr>
        <w:t>This domain reflects GARC's central institutional proposition: Research should not end at knowledge production; it should inform better systems and decisions.</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13. Research Domain 7 — Data, Digital Technologies &amp; Responsible AI</w:t>
      </w:r>
    </w:p>
    <w:p>
      <w:pPr>
        <w:pStyle w:val="Heading2"/>
        <w:jc w:val="left"/>
      </w:pPr>
      <w:r>
        <w:rPr>
          <w:rFonts w:ascii="Liberation Sans" w:hAnsi="Liberation Sans" w:cs="Liberation Sans" w:eastAsia="Liberation Sans"/>
          <w:b/>
          <w:color w:val="174F78"/>
          <w:sz w:val="25"/>
        </w:rPr>
        <w:t>Strategic Aim</w:t>
      </w:r>
    </w:p>
    <w:p>
      <w:pPr>
        <w:spacing w:after="120" w:line="276" w:lineRule="auto"/>
        <w:jc w:val="left"/>
      </w:pPr>
      <w:r>
        <w:rPr>
          <w:rFonts w:ascii="Liberation Sans" w:hAnsi="Liberation Sans" w:cs="Liberation Sans" w:eastAsia="Liberation Sans"/>
          <w:b w:val="0"/>
          <w:color w:val="1F2937"/>
          <w:sz w:val="22"/>
        </w:rPr>
        <w:t>To advance the responsible use of data, digital technologies and artificial intelligence in autism research and institutional systems.</w:t>
      </w:r>
    </w:p>
    <w:p>
      <w:pPr>
        <w:pStyle w:val="Heading2"/>
        <w:jc w:val="left"/>
      </w:pPr>
      <w:r>
        <w:rPr>
          <w:rFonts w:ascii="Liberation Sans" w:hAnsi="Liberation Sans" w:cs="Liberation Sans" w:eastAsia="Liberation Sans"/>
          <w:b/>
          <w:color w:val="174F78"/>
          <w:sz w:val="25"/>
        </w:rPr>
        <w:t>Priority Areas</w:t>
      </w:r>
    </w:p>
    <w:p>
      <w:pPr>
        <w:pStyle w:val="ListBullet"/>
        <w:spacing w:after="60" w:line="259" w:lineRule="auto"/>
        <w:jc w:val="left"/>
      </w:pPr>
      <w:r>
        <w:rPr>
          <w:rFonts w:ascii="Liberation Sans" w:hAnsi="Liberation Sans" w:cs="Liberation Sans" w:eastAsia="Liberation Sans"/>
          <w:b w:val="0"/>
          <w:color w:val="1F2937"/>
          <w:sz w:val="21"/>
        </w:rPr>
        <w:t>autism data architecture;</w:t>
      </w:r>
    </w:p>
    <w:p>
      <w:pPr>
        <w:pStyle w:val="ListBullet"/>
        <w:spacing w:after="60" w:line="259" w:lineRule="auto"/>
        <w:jc w:val="left"/>
      </w:pPr>
      <w:r>
        <w:rPr>
          <w:rFonts w:ascii="Liberation Sans" w:hAnsi="Liberation Sans" w:cs="Liberation Sans" w:eastAsia="Liberation Sans"/>
          <w:b w:val="0"/>
          <w:color w:val="1F2937"/>
          <w:sz w:val="21"/>
        </w:rPr>
        <w:t>interoperability;</w:t>
      </w:r>
    </w:p>
    <w:p>
      <w:pPr>
        <w:pStyle w:val="ListBullet"/>
        <w:spacing w:after="60" w:line="259" w:lineRule="auto"/>
        <w:jc w:val="left"/>
      </w:pPr>
      <w:r>
        <w:rPr>
          <w:rFonts w:ascii="Liberation Sans" w:hAnsi="Liberation Sans" w:cs="Liberation Sans" w:eastAsia="Liberation Sans"/>
          <w:b w:val="0"/>
          <w:color w:val="1F2937"/>
          <w:sz w:val="21"/>
        </w:rPr>
        <w:t>research databases;</w:t>
      </w:r>
    </w:p>
    <w:p>
      <w:pPr>
        <w:pStyle w:val="ListBullet"/>
        <w:spacing w:after="60" w:line="259" w:lineRule="auto"/>
        <w:jc w:val="left"/>
      </w:pPr>
      <w:r>
        <w:rPr>
          <w:rFonts w:ascii="Liberation Sans" w:hAnsi="Liberation Sans" w:cs="Liberation Sans" w:eastAsia="Liberation Sans"/>
          <w:b w:val="0"/>
          <w:color w:val="1F2937"/>
          <w:sz w:val="21"/>
        </w:rPr>
        <w:t>dashboards and indicators;</w:t>
      </w:r>
    </w:p>
    <w:p>
      <w:pPr>
        <w:pStyle w:val="ListBullet"/>
        <w:spacing w:after="60" w:line="259" w:lineRule="auto"/>
        <w:jc w:val="left"/>
      </w:pPr>
      <w:r>
        <w:rPr>
          <w:rFonts w:ascii="Liberation Sans" w:hAnsi="Liberation Sans" w:cs="Liberation Sans" w:eastAsia="Liberation Sans"/>
          <w:b w:val="0"/>
          <w:color w:val="1F2937"/>
          <w:sz w:val="21"/>
        </w:rPr>
        <w:t>assistive technologies;</w:t>
      </w:r>
    </w:p>
    <w:p>
      <w:pPr>
        <w:pStyle w:val="ListBullet"/>
        <w:spacing w:after="60" w:line="259" w:lineRule="auto"/>
        <w:jc w:val="left"/>
      </w:pPr>
      <w:r>
        <w:rPr>
          <w:rFonts w:ascii="Liberation Sans" w:hAnsi="Liberation Sans" w:cs="Liberation Sans" w:eastAsia="Liberation Sans"/>
          <w:b w:val="0"/>
          <w:color w:val="1F2937"/>
          <w:sz w:val="21"/>
        </w:rPr>
        <w:t>digital accessibility;</w:t>
      </w:r>
    </w:p>
    <w:p>
      <w:pPr>
        <w:pStyle w:val="ListBullet"/>
        <w:spacing w:after="60" w:line="259" w:lineRule="auto"/>
        <w:jc w:val="left"/>
      </w:pPr>
      <w:r>
        <w:rPr>
          <w:rFonts w:ascii="Liberation Sans" w:hAnsi="Liberation Sans" w:cs="Liberation Sans" w:eastAsia="Liberation Sans"/>
          <w:b w:val="0"/>
          <w:color w:val="1F2937"/>
          <w:sz w:val="21"/>
        </w:rPr>
        <w:t>digital research tools;</w:t>
      </w:r>
    </w:p>
    <w:p>
      <w:pPr>
        <w:pStyle w:val="ListBullet"/>
        <w:spacing w:after="60" w:line="259" w:lineRule="auto"/>
        <w:jc w:val="left"/>
      </w:pPr>
      <w:r>
        <w:rPr>
          <w:rFonts w:ascii="Liberation Sans" w:hAnsi="Liberation Sans" w:cs="Liberation Sans" w:eastAsia="Liberation Sans"/>
          <w:b w:val="0"/>
          <w:color w:val="1F2937"/>
          <w:sz w:val="21"/>
        </w:rPr>
        <w:t>AI-supported knowledge retrieval;</w:t>
      </w:r>
    </w:p>
    <w:p>
      <w:pPr>
        <w:pStyle w:val="ListBullet"/>
        <w:spacing w:after="60" w:line="259" w:lineRule="auto"/>
        <w:jc w:val="left"/>
      </w:pPr>
      <w:r>
        <w:rPr>
          <w:rFonts w:ascii="Liberation Sans" w:hAnsi="Liberation Sans" w:cs="Liberation Sans" w:eastAsia="Liberation Sans"/>
          <w:b w:val="0"/>
          <w:color w:val="1F2937"/>
          <w:sz w:val="21"/>
        </w:rPr>
        <w:t>AI-assisted research;</w:t>
      </w:r>
    </w:p>
    <w:p>
      <w:pPr>
        <w:pStyle w:val="ListBullet"/>
        <w:spacing w:after="60" w:line="259" w:lineRule="auto"/>
        <w:jc w:val="left"/>
      </w:pPr>
      <w:r>
        <w:rPr>
          <w:rFonts w:ascii="Liberation Sans" w:hAnsi="Liberation Sans" w:cs="Liberation Sans" w:eastAsia="Liberation Sans"/>
          <w:b w:val="0"/>
          <w:color w:val="1F2937"/>
          <w:sz w:val="21"/>
        </w:rPr>
        <w:t>decision-support systems;</w:t>
      </w:r>
    </w:p>
    <w:p>
      <w:pPr>
        <w:pStyle w:val="ListBullet"/>
        <w:spacing w:after="60" w:line="259" w:lineRule="auto"/>
        <w:jc w:val="left"/>
      </w:pPr>
      <w:r>
        <w:rPr>
          <w:rFonts w:ascii="Liberation Sans" w:hAnsi="Liberation Sans" w:cs="Liberation Sans" w:eastAsia="Liberation Sans"/>
          <w:b w:val="0"/>
          <w:color w:val="1F2937"/>
          <w:sz w:val="21"/>
        </w:rPr>
        <w:t>algorithmic fairness;</w:t>
      </w:r>
    </w:p>
    <w:p>
      <w:pPr>
        <w:pStyle w:val="ListBullet"/>
        <w:spacing w:after="60" w:line="259" w:lineRule="auto"/>
        <w:jc w:val="left"/>
      </w:pPr>
      <w:r>
        <w:rPr>
          <w:rFonts w:ascii="Liberation Sans" w:hAnsi="Liberation Sans" w:cs="Liberation Sans" w:eastAsia="Liberation Sans"/>
          <w:b w:val="0"/>
          <w:color w:val="1F2937"/>
          <w:sz w:val="21"/>
        </w:rPr>
        <w:t>bias and representation;</w:t>
      </w:r>
    </w:p>
    <w:p>
      <w:pPr>
        <w:pStyle w:val="ListBullet"/>
        <w:spacing w:after="60" w:line="259" w:lineRule="auto"/>
        <w:jc w:val="left"/>
      </w:pPr>
      <w:r>
        <w:rPr>
          <w:rFonts w:ascii="Liberation Sans" w:hAnsi="Liberation Sans" w:cs="Liberation Sans" w:eastAsia="Liberation Sans"/>
          <w:b w:val="0"/>
          <w:color w:val="1F2937"/>
          <w:sz w:val="21"/>
        </w:rPr>
        <w:t>privacy and consent;</w:t>
      </w:r>
    </w:p>
    <w:p>
      <w:pPr>
        <w:pStyle w:val="ListBullet"/>
        <w:spacing w:after="60" w:line="259" w:lineRule="auto"/>
        <w:jc w:val="left"/>
      </w:pPr>
      <w:r>
        <w:rPr>
          <w:rFonts w:ascii="Liberation Sans" w:hAnsi="Liberation Sans" w:cs="Liberation Sans" w:eastAsia="Liberation Sans"/>
          <w:b w:val="0"/>
          <w:color w:val="1F2937"/>
          <w:sz w:val="21"/>
        </w:rPr>
        <w:t>evaluation and validation;</w:t>
      </w:r>
    </w:p>
    <w:p>
      <w:pPr>
        <w:pStyle w:val="ListBullet"/>
        <w:spacing w:after="60" w:line="259" w:lineRule="auto"/>
        <w:jc w:val="left"/>
      </w:pPr>
      <w:r>
        <w:rPr>
          <w:rFonts w:ascii="Liberation Sans" w:hAnsi="Liberation Sans" w:cs="Liberation Sans" w:eastAsia="Liberation Sans"/>
          <w:b w:val="0"/>
          <w:color w:val="1F2937"/>
          <w:sz w:val="21"/>
        </w:rPr>
        <w:t>responsible AI governance.</w:t>
      </w:r>
    </w:p>
    <w:p>
      <w:pPr>
        <w:pStyle w:val="Heading2"/>
        <w:jc w:val="left"/>
      </w:pPr>
      <w:r>
        <w:rPr>
          <w:rFonts w:ascii="Liberation Sans" w:hAnsi="Liberation Sans" w:cs="Liberation Sans" w:eastAsia="Liberation Sans"/>
          <w:b/>
          <w:color w:val="174F78"/>
          <w:sz w:val="25"/>
        </w:rPr>
        <w:t>Priority Research Questions</w:t>
      </w:r>
    </w:p>
    <w:p>
      <w:pPr>
        <w:pStyle w:val="ListNumber"/>
        <w:spacing w:after="60" w:line="259" w:lineRule="auto"/>
        <w:jc w:val="left"/>
      </w:pPr>
      <w:r>
        <w:rPr>
          <w:rFonts w:ascii="Liberation Sans" w:hAnsi="Liberation Sans" w:cs="Liberation Sans" w:eastAsia="Liberation Sans"/>
          <w:b w:val="0"/>
          <w:color w:val="1F2937"/>
          <w:sz w:val="21"/>
        </w:rPr>
        <w:t>How can autism data systems become more interoperable, secure and useful for research and policy?</w:t>
      </w:r>
    </w:p>
    <w:p>
      <w:pPr>
        <w:pStyle w:val="ListNumber"/>
        <w:spacing w:after="60" w:line="259" w:lineRule="auto"/>
        <w:jc w:val="left"/>
      </w:pPr>
      <w:r>
        <w:rPr>
          <w:rFonts w:ascii="Liberation Sans" w:hAnsi="Liberation Sans" w:cs="Liberation Sans" w:eastAsia="Liberation Sans"/>
          <w:b w:val="0"/>
          <w:color w:val="1F2937"/>
          <w:sz w:val="21"/>
        </w:rPr>
        <w:t>Which digital technologies meaningfully improve accessibility, participation or institutional performance?</w:t>
      </w:r>
    </w:p>
    <w:p>
      <w:pPr>
        <w:pStyle w:val="ListNumber"/>
        <w:spacing w:after="60" w:line="259" w:lineRule="auto"/>
        <w:jc w:val="left"/>
      </w:pPr>
      <w:r>
        <w:rPr>
          <w:rFonts w:ascii="Liberation Sans" w:hAnsi="Liberation Sans" w:cs="Liberation Sans" w:eastAsia="Liberation Sans"/>
          <w:b w:val="0"/>
          <w:color w:val="1F2937"/>
          <w:sz w:val="21"/>
        </w:rPr>
        <w:t>How can AI accelerate evidence synthesis without compromising scientific integrity?</w:t>
      </w:r>
    </w:p>
    <w:p>
      <w:pPr>
        <w:pStyle w:val="ListNumber"/>
        <w:spacing w:after="60" w:line="259" w:lineRule="auto"/>
        <w:jc w:val="left"/>
      </w:pPr>
      <w:r>
        <w:rPr>
          <w:rFonts w:ascii="Liberation Sans" w:hAnsi="Liberation Sans" w:cs="Liberation Sans" w:eastAsia="Liberation Sans"/>
          <w:b w:val="0"/>
          <w:color w:val="1F2937"/>
          <w:sz w:val="21"/>
        </w:rPr>
        <w:t>What bias, equity and representation risks arise when AI systems are used with autism-related data?</w:t>
      </w:r>
    </w:p>
    <w:p>
      <w:pPr>
        <w:pStyle w:val="ListNumber"/>
        <w:spacing w:after="60" w:line="259" w:lineRule="auto"/>
        <w:jc w:val="left"/>
      </w:pPr>
      <w:r>
        <w:rPr>
          <w:rFonts w:ascii="Liberation Sans" w:hAnsi="Liberation Sans" w:cs="Liberation Sans" w:eastAsia="Liberation Sans"/>
          <w:b w:val="0"/>
          <w:color w:val="1F2937"/>
          <w:sz w:val="21"/>
        </w:rPr>
        <w:t>What validation standards should apply to AI-enabled autism tools?</w:t>
      </w:r>
    </w:p>
    <w:p>
      <w:pPr>
        <w:pStyle w:val="ListNumber"/>
        <w:spacing w:after="60" w:line="259" w:lineRule="auto"/>
        <w:jc w:val="left"/>
      </w:pPr>
      <w:r>
        <w:rPr>
          <w:rFonts w:ascii="Liberation Sans" w:hAnsi="Liberation Sans" w:cs="Liberation Sans" w:eastAsia="Liberation Sans"/>
          <w:b w:val="0"/>
          <w:color w:val="1F2937"/>
          <w:sz w:val="21"/>
        </w:rPr>
        <w:t>How should human oversight, consent, privacy and accountability be built into autism-related AI systems?</w:t>
      </w:r>
    </w:p>
    <w:p>
      <w:pPr>
        <w:pStyle w:val="ListNumber"/>
        <w:spacing w:after="60" w:line="259" w:lineRule="auto"/>
        <w:jc w:val="left"/>
      </w:pPr>
      <w:r>
        <w:rPr>
          <w:rFonts w:ascii="Liberation Sans" w:hAnsi="Liberation Sans" w:cs="Liberation Sans" w:eastAsia="Liberation Sans"/>
          <w:b w:val="0"/>
          <w:color w:val="1F2937"/>
          <w:sz w:val="21"/>
        </w:rPr>
        <w:t>Which institutional use cases provide genuine value without creating unsupported clinical claims?</w:t>
      </w:r>
    </w:p>
    <w:p>
      <w:pPr>
        <w:spacing w:after="120" w:line="276" w:lineRule="auto"/>
        <w:jc w:val="left"/>
      </w:pPr>
      <w:r>
        <w:rPr>
          <w:rFonts w:ascii="Liberation Sans" w:hAnsi="Liberation Sans" w:cs="Liberation Sans" w:eastAsia="Liberation Sans"/>
          <w:b w:val="0"/>
          <w:color w:val="1F2937"/>
          <w:sz w:val="22"/>
        </w:rPr>
        <w:t>GARC will clearly distinguish between research prototypes, knowledge tools, administrative or decision-support technologies, assistive technologies, and regulated clinical or diagnostic systems. No technology will be described as diagnostic, therapeutic, clinically validated or medically approved without evidence and authorisation supporting that specific claim.</w:t>
      </w:r>
    </w:p>
    <w:p>
      <w:pPr>
        <w:pStyle w:val="Heading1"/>
        <w:jc w:val="left"/>
        <w:pBdr>
          <w:bottom w:val="single" w:sz="10" w:space="4" w:color="C5A35B"/>
        </w:pBdr>
      </w:pPr>
      <w:r>
        <w:rPr>
          <w:rFonts w:ascii="Liberation Sans" w:hAnsi="Liberation Sans" w:cs="Liberation Sans" w:eastAsia="Liberation Sans"/>
          <w:b/>
          <w:color w:val="0B2D4D"/>
          <w:sz w:val="34"/>
        </w:rPr>
        <w:t>14. Cross-Cutting Research Principles</w:t>
      </w:r>
    </w:p>
    <w:p>
      <w:pPr>
        <w:spacing w:after="120" w:line="276" w:lineRule="auto"/>
        <w:jc w:val="left"/>
      </w:pPr>
      <w:r>
        <w:rPr>
          <w:rFonts w:ascii="Liberation Sans" w:hAnsi="Liberation Sans" w:cs="Liberation Sans" w:eastAsia="Liberation Sans"/>
          <w:b w:val="0"/>
          <w:color w:val="1F2937"/>
          <w:sz w:val="22"/>
        </w:rPr>
        <w:t>All seven Research Domains will be governed by nine cross-cutting principles.</w:t>
      </w:r>
    </w:p>
    <w:p>
      <w:pPr>
        <w:pStyle w:val="Heading2"/>
        <w:jc w:val="left"/>
      </w:pPr>
      <w:r>
        <w:rPr>
          <w:rFonts w:ascii="Liberation Sans" w:hAnsi="Liberation Sans" w:cs="Liberation Sans" w:eastAsia="Liberation Sans"/>
          <w:b/>
          <w:color w:val="174F78"/>
          <w:sz w:val="25"/>
        </w:rPr>
        <w:t>14.1 Lived Experience</w:t>
      </w:r>
    </w:p>
    <w:p>
      <w:pPr>
        <w:spacing w:after="120" w:line="276" w:lineRule="auto"/>
        <w:jc w:val="left"/>
      </w:pPr>
      <w:r>
        <w:rPr>
          <w:rFonts w:ascii="Liberation Sans" w:hAnsi="Liberation Sans" w:cs="Liberation Sans" w:eastAsia="Liberation Sans"/>
          <w:b w:val="0"/>
          <w:color w:val="1F2937"/>
          <w:sz w:val="22"/>
        </w:rPr>
        <w:t>Research should meaningfully incorporate the knowledge, priorities and experiences of autistic people whenever relevant to the research question.</w:t>
      </w:r>
    </w:p>
    <w:p>
      <w:pPr>
        <w:pStyle w:val="Heading2"/>
        <w:jc w:val="left"/>
      </w:pPr>
      <w:r>
        <w:rPr>
          <w:rFonts w:ascii="Liberation Sans" w:hAnsi="Liberation Sans" w:cs="Liberation Sans" w:eastAsia="Liberation Sans"/>
          <w:b/>
          <w:color w:val="174F78"/>
          <w:sz w:val="25"/>
        </w:rPr>
        <w:t>14.2 Life-Course Perspective</w:t>
      </w:r>
    </w:p>
    <w:p>
      <w:pPr>
        <w:spacing w:after="120" w:line="276" w:lineRule="auto"/>
        <w:jc w:val="left"/>
      </w:pPr>
      <w:r>
        <w:rPr>
          <w:rFonts w:ascii="Liberation Sans" w:hAnsi="Liberation Sans" w:cs="Liberation Sans" w:eastAsia="Liberation Sans"/>
          <w:b w:val="0"/>
          <w:color w:val="1F2937"/>
          <w:sz w:val="22"/>
        </w:rPr>
        <w:t>Research should recognise that needs, opportunities and outcomes change from childhood through adolescence, adulthood and ageing.</w:t>
      </w:r>
    </w:p>
    <w:p>
      <w:pPr>
        <w:pStyle w:val="Heading2"/>
        <w:jc w:val="left"/>
      </w:pPr>
      <w:r>
        <w:rPr>
          <w:rFonts w:ascii="Liberation Sans" w:hAnsi="Liberation Sans" w:cs="Liberation Sans" w:eastAsia="Liberation Sans"/>
          <w:b/>
          <w:color w:val="174F78"/>
          <w:sz w:val="25"/>
        </w:rPr>
        <w:t>14.3 Equity and Inclusion</w:t>
      </w:r>
    </w:p>
    <w:p>
      <w:pPr>
        <w:spacing w:after="120" w:line="276" w:lineRule="auto"/>
        <w:jc w:val="left"/>
      </w:pPr>
      <w:r>
        <w:rPr>
          <w:rFonts w:ascii="Liberation Sans" w:hAnsi="Liberation Sans" w:cs="Liberation Sans" w:eastAsia="Liberation Sans"/>
          <w:b w:val="0"/>
          <w:color w:val="1F2937"/>
          <w:sz w:val="22"/>
        </w:rPr>
        <w:t>Research should actively consider populations that may be underserved, underrepresented or systematically excluded from existing evidence.</w:t>
      </w:r>
    </w:p>
    <w:p>
      <w:pPr>
        <w:pStyle w:val="Heading2"/>
        <w:jc w:val="left"/>
      </w:pPr>
      <w:r>
        <w:rPr>
          <w:rFonts w:ascii="Liberation Sans" w:hAnsi="Liberation Sans" w:cs="Liberation Sans" w:eastAsia="Liberation Sans"/>
          <w:b/>
          <w:color w:val="174F78"/>
          <w:sz w:val="25"/>
        </w:rPr>
        <w:t>14.4 Cultural and Contextual Relevance</w:t>
      </w:r>
    </w:p>
    <w:p>
      <w:pPr>
        <w:spacing w:after="120" w:line="276" w:lineRule="auto"/>
        <w:jc w:val="left"/>
      </w:pPr>
      <w:r>
        <w:rPr>
          <w:rFonts w:ascii="Liberation Sans" w:hAnsi="Liberation Sans" w:cs="Liberation Sans" w:eastAsia="Liberation Sans"/>
          <w:b w:val="0"/>
          <w:color w:val="1F2937"/>
          <w:sz w:val="22"/>
        </w:rPr>
        <w:t>Methods, interpretations and recommendations should account for linguistic, cultural, socioeconomic and institutional context.</w:t>
      </w:r>
    </w:p>
    <w:p>
      <w:pPr>
        <w:pStyle w:val="Heading2"/>
        <w:jc w:val="left"/>
      </w:pPr>
      <w:r>
        <w:rPr>
          <w:rFonts w:ascii="Liberation Sans" w:hAnsi="Liberation Sans" w:cs="Liberation Sans" w:eastAsia="Liberation Sans"/>
          <w:b/>
          <w:color w:val="174F78"/>
          <w:sz w:val="25"/>
        </w:rPr>
        <w:t>14.5 Scientific Quality</w:t>
      </w:r>
    </w:p>
    <w:p>
      <w:pPr>
        <w:spacing w:after="120" w:line="276" w:lineRule="auto"/>
        <w:jc w:val="left"/>
      </w:pPr>
      <w:r>
        <w:rPr>
          <w:rFonts w:ascii="Liberation Sans" w:hAnsi="Liberation Sans" w:cs="Liberation Sans" w:eastAsia="Liberation Sans"/>
          <w:b w:val="0"/>
          <w:color w:val="1F2937"/>
          <w:sz w:val="22"/>
        </w:rPr>
        <w:t>Research design, evidence synthesis, analysis and reporting must meet appropriate methodological standards.</w:t>
      </w:r>
    </w:p>
    <w:p>
      <w:pPr>
        <w:pStyle w:val="Heading2"/>
        <w:jc w:val="left"/>
      </w:pPr>
      <w:r>
        <w:rPr>
          <w:rFonts w:ascii="Liberation Sans" w:hAnsi="Liberation Sans" w:cs="Liberation Sans" w:eastAsia="Liberation Sans"/>
          <w:b/>
          <w:color w:val="174F78"/>
          <w:sz w:val="25"/>
        </w:rPr>
        <w:t>14.6 Implementation and Policy Relevance</w:t>
      </w:r>
    </w:p>
    <w:p>
      <w:pPr>
        <w:spacing w:after="120" w:line="276" w:lineRule="auto"/>
        <w:jc w:val="left"/>
      </w:pPr>
      <w:r>
        <w:rPr>
          <w:rFonts w:ascii="Liberation Sans" w:hAnsi="Liberation Sans" w:cs="Liberation Sans" w:eastAsia="Liberation Sans"/>
          <w:b w:val="0"/>
          <w:color w:val="1F2937"/>
          <w:sz w:val="22"/>
        </w:rPr>
        <w:t>Research should identify pathways through which findings could influence policy, practice, service design or future research.</w:t>
      </w:r>
    </w:p>
    <w:p>
      <w:pPr>
        <w:pStyle w:val="Heading2"/>
        <w:jc w:val="left"/>
      </w:pPr>
      <w:r>
        <w:rPr>
          <w:rFonts w:ascii="Liberation Sans" w:hAnsi="Liberation Sans" w:cs="Liberation Sans" w:eastAsia="Liberation Sans"/>
          <w:b/>
          <w:color w:val="174F78"/>
          <w:sz w:val="25"/>
        </w:rPr>
        <w:t>14.7 Open Knowledge</w:t>
      </w:r>
    </w:p>
    <w:p>
      <w:pPr>
        <w:spacing w:after="120" w:line="276" w:lineRule="auto"/>
        <w:jc w:val="left"/>
      </w:pPr>
      <w:r>
        <w:rPr>
          <w:rFonts w:ascii="Liberation Sans" w:hAnsi="Liberation Sans" w:cs="Liberation Sans" w:eastAsia="Liberation Sans"/>
          <w:b w:val="0"/>
          <w:color w:val="1F2937"/>
          <w:sz w:val="22"/>
        </w:rPr>
        <w:t>GARC will support appropriate dissemination, accessible research communication and open knowledge principles wherever legal, ethical, contractual and intellectual-property considerations permit.</w:t>
      </w:r>
    </w:p>
    <w:p>
      <w:pPr>
        <w:pStyle w:val="Heading2"/>
        <w:jc w:val="left"/>
      </w:pPr>
      <w:r>
        <w:rPr>
          <w:rFonts w:ascii="Liberation Sans" w:hAnsi="Liberation Sans" w:cs="Liberation Sans" w:eastAsia="Liberation Sans"/>
          <w:b/>
          <w:color w:val="174F78"/>
          <w:sz w:val="25"/>
        </w:rPr>
        <w:t>14.8 Responsible Data and AI</w:t>
      </w:r>
    </w:p>
    <w:p>
      <w:pPr>
        <w:spacing w:after="120" w:line="276" w:lineRule="auto"/>
        <w:jc w:val="left"/>
      </w:pPr>
      <w:r>
        <w:rPr>
          <w:rFonts w:ascii="Liberation Sans" w:hAnsi="Liberation Sans" w:cs="Liberation Sans" w:eastAsia="Liberation Sans"/>
          <w:b w:val="0"/>
          <w:color w:val="1F2937"/>
          <w:sz w:val="22"/>
        </w:rPr>
        <w:t>Data and AI use must reflect privacy, security, proportionality, transparency, fairness and human accountability.</w:t>
      </w:r>
    </w:p>
    <w:p>
      <w:pPr>
        <w:pStyle w:val="Heading2"/>
        <w:jc w:val="left"/>
      </w:pPr>
      <w:r>
        <w:rPr>
          <w:rFonts w:ascii="Liberation Sans" w:hAnsi="Liberation Sans" w:cs="Liberation Sans" w:eastAsia="Liberation Sans"/>
          <w:b/>
          <w:color w:val="174F78"/>
          <w:sz w:val="25"/>
        </w:rPr>
        <w:t>14.9 Measurable Impact</w:t>
      </w:r>
    </w:p>
    <w:p>
      <w:pPr>
        <w:spacing w:after="120" w:line="276" w:lineRule="auto"/>
        <w:jc w:val="left"/>
      </w:pPr>
      <w:r>
        <w:rPr>
          <w:rFonts w:ascii="Liberation Sans" w:hAnsi="Liberation Sans" w:cs="Liberation Sans" w:eastAsia="Liberation Sans"/>
          <w:b w:val="0"/>
          <w:color w:val="1F2937"/>
          <w:sz w:val="22"/>
        </w:rPr>
        <w:t>Research programs should define intended outcomes and identify how knowledge use or institutional impact may be assessed.</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15. Research Priority-Setting Methodology</w:t>
      </w:r>
    </w:p>
    <w:p>
      <w:pPr>
        <w:spacing w:after="120" w:line="276" w:lineRule="auto"/>
        <w:jc w:val="left"/>
      </w:pPr>
      <w:r>
        <w:rPr>
          <w:rFonts w:ascii="Liberation Sans" w:hAnsi="Liberation Sans" w:cs="Liberation Sans" w:eastAsia="Liberation Sans"/>
          <w:b w:val="0"/>
          <w:color w:val="1F2937"/>
          <w:sz w:val="22"/>
        </w:rPr>
        <w:t>GARC will use a repeatable nine-stage process for research prioritisation.</w:t>
      </w:r>
    </w:p>
    <w:p>
      <w:pPr>
        <w:pStyle w:val="Heading2"/>
        <w:jc w:val="left"/>
      </w:pPr>
      <w:r>
        <w:rPr>
          <w:rFonts w:ascii="Liberation Sans" w:hAnsi="Liberation Sans" w:cs="Liberation Sans" w:eastAsia="Liberation Sans"/>
          <w:b/>
          <w:color w:val="174F78"/>
          <w:sz w:val="25"/>
        </w:rPr>
        <w:t>Stage 1 — Evidence Scan</w:t>
      </w:r>
    </w:p>
    <w:p>
      <w:pPr>
        <w:spacing w:after="120" w:line="276" w:lineRule="auto"/>
        <w:jc w:val="left"/>
      </w:pPr>
      <w:r>
        <w:rPr>
          <w:rFonts w:ascii="Liberation Sans" w:hAnsi="Liberation Sans" w:cs="Liberation Sans" w:eastAsia="Liberation Sans"/>
          <w:b w:val="0"/>
          <w:color w:val="1F2937"/>
          <w:sz w:val="22"/>
        </w:rPr>
        <w:t>Review existing research, systematic reviews, datasets, policies, international strategies and relevant knowledge resources.</w:t>
      </w:r>
    </w:p>
    <w:p>
      <w:pPr>
        <w:pStyle w:val="Heading2"/>
        <w:jc w:val="left"/>
      </w:pPr>
      <w:r>
        <w:rPr>
          <w:rFonts w:ascii="Liberation Sans" w:hAnsi="Liberation Sans" w:cs="Liberation Sans" w:eastAsia="Liberation Sans"/>
          <w:b/>
          <w:color w:val="174F78"/>
          <w:sz w:val="25"/>
        </w:rPr>
        <w:t>Stage 2 — Gap Mapping</w:t>
      </w:r>
    </w:p>
    <w:p>
      <w:pPr>
        <w:spacing w:after="120" w:line="276" w:lineRule="auto"/>
        <w:jc w:val="left"/>
      </w:pPr>
      <w:r>
        <w:rPr>
          <w:rFonts w:ascii="Liberation Sans" w:hAnsi="Liberation Sans" w:cs="Liberation Sans" w:eastAsia="Liberation Sans"/>
          <w:b w:val="0"/>
          <w:color w:val="1F2937"/>
          <w:sz w:val="22"/>
        </w:rPr>
        <w:t>Identify unanswered questions, inconsistent evidence, underrepresented populations, data limitations and implementation gaps.</w:t>
      </w:r>
    </w:p>
    <w:p>
      <w:pPr>
        <w:pStyle w:val="Heading2"/>
        <w:jc w:val="left"/>
      </w:pPr>
      <w:r>
        <w:rPr>
          <w:rFonts w:ascii="Liberation Sans" w:hAnsi="Liberation Sans" w:cs="Liberation Sans" w:eastAsia="Liberation Sans"/>
          <w:b/>
          <w:color w:val="174F78"/>
          <w:sz w:val="25"/>
        </w:rPr>
        <w:t>Stage 3 — Stakeholder Input</w:t>
      </w:r>
    </w:p>
    <w:p>
      <w:pPr>
        <w:spacing w:after="120" w:line="276" w:lineRule="auto"/>
        <w:jc w:val="left"/>
      </w:pPr>
      <w:r>
        <w:rPr>
          <w:rFonts w:ascii="Liberation Sans" w:hAnsi="Liberation Sans" w:cs="Liberation Sans" w:eastAsia="Liberation Sans"/>
          <w:b w:val="0"/>
          <w:color w:val="1F2937"/>
          <w:sz w:val="22"/>
        </w:rPr>
        <w:t>Gather structured input, where relevant, from autistic people, families, researchers, practitioners, policymakers, institutions and other stakeholders.</w:t>
      </w:r>
    </w:p>
    <w:p>
      <w:pPr>
        <w:pStyle w:val="Heading2"/>
        <w:jc w:val="left"/>
      </w:pPr>
      <w:r>
        <w:rPr>
          <w:rFonts w:ascii="Liberation Sans" w:hAnsi="Liberation Sans" w:cs="Liberation Sans" w:eastAsia="Liberation Sans"/>
          <w:b/>
          <w:color w:val="174F78"/>
          <w:sz w:val="25"/>
        </w:rPr>
        <w:t>Stage 4 — Research Questions Bank</w:t>
      </w:r>
    </w:p>
    <w:p>
      <w:pPr>
        <w:spacing w:after="120" w:line="276" w:lineRule="auto"/>
        <w:jc w:val="left"/>
      </w:pPr>
      <w:r>
        <w:rPr>
          <w:rFonts w:ascii="Liberation Sans" w:hAnsi="Liberation Sans" w:cs="Liberation Sans" w:eastAsia="Liberation Sans"/>
          <w:b w:val="0"/>
          <w:color w:val="1F2937"/>
          <w:sz w:val="22"/>
        </w:rPr>
        <w:t>Convert identified gaps into a maintained institutional bank of researchable questions.</w:t>
      </w:r>
    </w:p>
    <w:p>
      <w:pPr>
        <w:pStyle w:val="Heading2"/>
        <w:jc w:val="left"/>
      </w:pPr>
      <w:r>
        <w:rPr>
          <w:rFonts w:ascii="Liberation Sans" w:hAnsi="Liberation Sans" w:cs="Liberation Sans" w:eastAsia="Liberation Sans"/>
          <w:b/>
          <w:color w:val="174F78"/>
          <w:sz w:val="25"/>
        </w:rPr>
        <w:t>Stage 5 — Priority Scoring</w:t>
      </w:r>
    </w:p>
    <w:p>
      <w:pPr>
        <w:spacing w:after="120" w:line="276" w:lineRule="auto"/>
        <w:jc w:val="left"/>
      </w:pPr>
      <w:r>
        <w:rPr>
          <w:rFonts w:ascii="Liberation Sans" w:hAnsi="Liberation Sans" w:cs="Liberation Sans" w:eastAsia="Liberation Sans"/>
          <w:b w:val="0"/>
          <w:color w:val="1F2937"/>
          <w:sz w:val="22"/>
        </w:rPr>
        <w:t>Candidate research topics are assessed against the GARC Research Priority Score.</w:t>
      </w:r>
    </w:p>
    <w:tbl>
      <w:tblPr>
        <w:tblW w:type="auto" w:w="0"/>
        <w:jc w:val="center"/>
        <w:tblLayout w:type="fixed"/>
        <w:tblLook w:firstColumn="1" w:firstRow="1" w:lastColumn="0" w:lastRow="0" w:noHBand="0" w:noVBand="1" w:val="04A0"/>
      </w:tblPr>
      <w:tblGrid>
        <w:gridCol w:w="4896"/>
        <w:gridCol w:w="4896"/>
      </w:tblGrid>
      <w:tr>
        <w:tc>
          <w:tcPr>
            <w:tcW w:type="dxa" w:w="7416"/>
            <w:vAlign w:val="center"/>
            <w:tcMar>
              <w:top w:w="130" w:type="dxa"/>
              <w:start w:w="150" w:type="dxa"/>
              <w:bottom w:w="130" w:type="dxa"/>
              <w:end w:w="150" w:type="dxa"/>
            </w:tcMar>
            <w:shd w:fill="0B2D4D"/>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color w:val="FFFFFF"/>
                <w:sz w:val="20"/>
              </w:rPr>
              <w:t>Criterion</w:t>
            </w:r>
          </w:p>
        </w:tc>
        <w:tc>
          <w:tcPr>
            <w:tcW w:type="dxa" w:w="1656"/>
            <w:vAlign w:val="center"/>
            <w:tcMar>
              <w:top w:w="130" w:type="dxa"/>
              <w:start w:w="150" w:type="dxa"/>
              <w:bottom w:w="130" w:type="dxa"/>
              <w:end w:w="150" w:type="dxa"/>
            </w:tcMar>
            <w:shd w:fill="0B2D4D"/>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color w:val="FFFFFF"/>
                <w:sz w:val="20"/>
              </w:rPr>
              <w:t>Weight</w:t>
            </w:r>
          </w:p>
        </w:tc>
      </w:tr>
      <w:tr>
        <w:tc>
          <w:tcPr>
            <w:tcW w:type="dxa" w:w="741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Relevance to autistic people, families and real-world needs</w:t>
            </w:r>
          </w:p>
        </w:tc>
        <w:tc>
          <w:tcPr>
            <w:tcW w:type="dxa" w:w="165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20%</w:t>
            </w:r>
          </w:p>
        </w:tc>
      </w:tr>
      <w:tr>
        <w:tc>
          <w:tcPr>
            <w:tcW w:type="dxa" w:w="741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Potential impact on outcomes, systems or quality of life</w:t>
            </w:r>
          </w:p>
        </w:tc>
        <w:tc>
          <w:tcPr>
            <w:tcW w:type="dxa" w:w="165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20%</w:t>
            </w:r>
          </w:p>
        </w:tc>
      </w:tr>
      <w:tr>
        <w:tc>
          <w:tcPr>
            <w:tcW w:type="dxa" w:w="741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Magnitude of the evidence or data gap</w:t>
            </w:r>
          </w:p>
        </w:tc>
        <w:tc>
          <w:tcPr>
            <w:tcW w:type="dxa" w:w="165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15%</w:t>
            </w:r>
          </w:p>
        </w:tc>
      </w:tr>
      <w:tr>
        <w:tc>
          <w:tcPr>
            <w:tcW w:type="dxa" w:w="741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Equity and inclusion value</w:t>
            </w:r>
          </w:p>
        </w:tc>
        <w:tc>
          <w:tcPr>
            <w:tcW w:type="dxa" w:w="165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15%</w:t>
            </w:r>
          </w:p>
        </w:tc>
      </w:tr>
      <w:tr>
        <w:tc>
          <w:tcPr>
            <w:tcW w:type="dxa" w:w="741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Policy and implementation relevance</w:t>
            </w:r>
          </w:p>
        </w:tc>
        <w:tc>
          <w:tcPr>
            <w:tcW w:type="dxa" w:w="165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10%</w:t>
            </w:r>
          </w:p>
        </w:tc>
      </w:tr>
      <w:tr>
        <w:tc>
          <w:tcPr>
            <w:tcW w:type="dxa" w:w="741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Scientific feasibility</w:t>
            </w:r>
          </w:p>
        </w:tc>
        <w:tc>
          <w:tcPr>
            <w:tcW w:type="dxa" w:w="165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10%</w:t>
            </w:r>
          </w:p>
        </w:tc>
      </w:tr>
      <w:tr>
        <w:tc>
          <w:tcPr>
            <w:tcW w:type="dxa" w:w="741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Global/regional comparability and scalability</w:t>
            </w:r>
          </w:p>
        </w:tc>
        <w:tc>
          <w:tcPr>
            <w:tcW w:type="dxa" w:w="1656"/>
            <w:vAlign w:val="center"/>
            <w:tcMar>
              <w:top w:w="130" w:type="dxa"/>
              <w:start w:w="150" w:type="dxa"/>
              <w:bottom w:w="130" w:type="dxa"/>
              <w:end w:w="150" w:type="dxa"/>
            </w:tcMar>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5%</w:t>
            </w:r>
          </w:p>
        </w:tc>
      </w:tr>
      <w:tr>
        <w:tc>
          <w:tcPr>
            <w:tcW w:type="dxa" w:w="741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val="0"/>
                <w:color w:val="1F2937"/>
                <w:sz w:val="20"/>
              </w:rPr>
              <w:t>Data, expertise and partnership readiness</w:t>
            </w:r>
          </w:p>
        </w:tc>
        <w:tc>
          <w:tcPr>
            <w:tcW w:type="dxa" w:w="1656"/>
            <w:vAlign w:val="center"/>
            <w:tcMar>
              <w:top w:w="130" w:type="dxa"/>
              <w:start w:w="150" w:type="dxa"/>
              <w:bottom w:w="130" w:type="dxa"/>
              <w:end w:w="150" w:type="dxa"/>
            </w:tcMar>
            <w:shd w:fill="EAF1F6"/>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val="0"/>
                <w:color w:val="1F2937"/>
                <w:sz w:val="20"/>
              </w:rPr>
              <w:t>5%</w:t>
            </w:r>
          </w:p>
        </w:tc>
      </w:tr>
      <w:tr>
        <w:tc>
          <w:tcPr>
            <w:tcW w:type="dxa" w:w="7416"/>
            <w:vAlign w:val="center"/>
            <w:tcMar>
              <w:top w:w="130" w:type="dxa"/>
              <w:start w:w="150" w:type="dxa"/>
              <w:bottom w:w="130" w:type="dxa"/>
              <w:end w:w="150" w:type="dxa"/>
            </w:tcMar>
            <w:shd w:fill="F4EFE3"/>
            <w:tcBorders>
              <w:top w:sz="6" w:val="single" w:color="D1D5DB"/>
              <w:left w:sz="6" w:val="single" w:color="D1D5DB"/>
              <w:bottom w:sz="6" w:val="single" w:color="D1D5DB"/>
              <w:right w:sz="6" w:val="single" w:color="D1D5DB"/>
            </w:tcBorders>
          </w:tcPr>
          <w:p>
            <w:pPr>
              <w:jc w:val="left"/>
            </w:pPr>
            <w:r>
              <w:rPr>
                <w:rFonts w:ascii="Liberation Sans" w:hAnsi="Liberation Sans" w:cs="Liberation Sans" w:eastAsia="Liberation Sans"/>
                <w:b/>
                <w:color w:val="1F2937"/>
                <w:sz w:val="20"/>
              </w:rPr>
              <w:t>Total</w:t>
            </w:r>
          </w:p>
        </w:tc>
        <w:tc>
          <w:tcPr>
            <w:tcW w:type="dxa" w:w="1656"/>
            <w:vAlign w:val="center"/>
            <w:tcMar>
              <w:top w:w="130" w:type="dxa"/>
              <w:start w:w="150" w:type="dxa"/>
              <w:bottom w:w="130" w:type="dxa"/>
              <w:end w:w="150" w:type="dxa"/>
            </w:tcMar>
            <w:shd w:fill="F4EFE3"/>
            <w:tcBorders>
              <w:top w:sz="6" w:val="single" w:color="D1D5DB"/>
              <w:left w:sz="6" w:val="single" w:color="D1D5DB"/>
              <w:bottom w:sz="6" w:val="single" w:color="D1D5DB"/>
              <w:right w:sz="6" w:val="single" w:color="D1D5DB"/>
            </w:tcBorders>
          </w:tcPr>
          <w:p>
            <w:pPr>
              <w:jc w:val="right"/>
            </w:pPr>
            <w:r>
              <w:rPr>
                <w:rFonts w:ascii="Liberation Sans" w:hAnsi="Liberation Sans" w:cs="Liberation Sans" w:eastAsia="Liberation Sans"/>
                <w:b/>
                <w:color w:val="1F2937"/>
                <w:sz w:val="20"/>
              </w:rPr>
              <w:t>100%</w:t>
            </w:r>
          </w:p>
        </w:tc>
      </w:tr>
    </w:tbl>
    <w:p>
      <w:pPr>
        <w:spacing w:after="0"/>
      </w:pPr>
    </w:p>
    <w:p>
      <w:pPr>
        <w:spacing w:after="120" w:line="276" w:lineRule="auto"/>
        <w:jc w:val="left"/>
      </w:pPr>
      <w:r>
        <w:rPr>
          <w:rFonts w:ascii="Liberation Sans" w:hAnsi="Liberation Sans" w:cs="Liberation Sans" w:eastAsia="Liberation Sans"/>
          <w:b w:val="0"/>
          <w:color w:val="1F2937"/>
          <w:sz w:val="22"/>
        </w:rPr>
        <w:t>The scoring framework informs judgement; it does not replace scientific judgement.</w:t>
      </w:r>
    </w:p>
    <w:p>
      <w:pPr>
        <w:pStyle w:val="Heading2"/>
        <w:jc w:val="left"/>
      </w:pPr>
      <w:r>
        <w:rPr>
          <w:rFonts w:ascii="Liberation Sans" w:hAnsi="Liberation Sans" w:cs="Liberation Sans" w:eastAsia="Liberation Sans"/>
          <w:b/>
          <w:color w:val="174F78"/>
          <w:sz w:val="25"/>
        </w:rPr>
        <w:t>Stage 6 — Scientific and Advisory Review</w:t>
      </w:r>
    </w:p>
    <w:p>
      <w:pPr>
        <w:spacing w:after="120" w:line="276" w:lineRule="auto"/>
        <w:jc w:val="left"/>
      </w:pPr>
      <w:r>
        <w:rPr>
          <w:rFonts w:ascii="Liberation Sans" w:hAnsi="Liberation Sans" w:cs="Liberation Sans" w:eastAsia="Liberation Sans"/>
          <w:b w:val="0"/>
          <w:color w:val="1F2937"/>
          <w:sz w:val="22"/>
        </w:rPr>
        <w:t>High-priority questions undergo appropriate scientific and subject-matter review.</w:t>
      </w:r>
    </w:p>
    <w:p>
      <w:pPr>
        <w:pStyle w:val="Heading2"/>
        <w:jc w:val="left"/>
      </w:pPr>
      <w:r>
        <w:rPr>
          <w:rFonts w:ascii="Liberation Sans" w:hAnsi="Liberation Sans" w:cs="Liberation Sans" w:eastAsia="Liberation Sans"/>
          <w:b/>
          <w:color w:val="174F78"/>
          <w:sz w:val="25"/>
        </w:rPr>
        <w:t>Stage 7 — Portfolio Balancing</w:t>
      </w:r>
    </w:p>
    <w:p>
      <w:pPr>
        <w:spacing w:after="120" w:line="276" w:lineRule="auto"/>
        <w:jc w:val="left"/>
      </w:pPr>
      <w:r>
        <w:rPr>
          <w:rFonts w:ascii="Liberation Sans" w:hAnsi="Liberation Sans" w:cs="Liberation Sans" w:eastAsia="Liberation Sans"/>
          <w:b w:val="0"/>
          <w:color w:val="1F2937"/>
          <w:sz w:val="22"/>
        </w:rPr>
        <w:t>The proposed portfolio is assessed to prevent excessive concentration in one population, age group, geography, methodology or research type. Portfolio balancing should consider life stage; support needs; gender and population diversity; geographic relevance; research methodology; short- versus long-term value; data readiness; equity; implementation potential; and available scientific capability.</w:t>
      </w:r>
    </w:p>
    <w:p>
      <w:pPr>
        <w:pStyle w:val="Heading2"/>
        <w:jc w:val="left"/>
      </w:pPr>
      <w:r>
        <w:rPr>
          <w:rFonts w:ascii="Liberation Sans" w:hAnsi="Liberation Sans" w:cs="Liberation Sans" w:eastAsia="Liberation Sans"/>
          <w:b/>
          <w:color w:val="174F78"/>
          <w:sz w:val="25"/>
        </w:rPr>
        <w:t>Stage 8 — Portfolio Approval</w:t>
      </w:r>
    </w:p>
    <w:p>
      <w:pPr>
        <w:spacing w:after="120" w:line="276" w:lineRule="auto"/>
        <w:jc w:val="left"/>
      </w:pPr>
      <w:r>
        <w:rPr>
          <w:rFonts w:ascii="Liberation Sans" w:hAnsi="Liberation Sans" w:cs="Liberation Sans" w:eastAsia="Liberation Sans"/>
          <w:b w:val="0"/>
          <w:color w:val="1F2937"/>
          <w:sz w:val="22"/>
        </w:rPr>
        <w:t>Approved priorities are converted into research projects, evidence products, partnership opportunities or monitored research questions.</w:t>
      </w:r>
    </w:p>
    <w:p>
      <w:pPr>
        <w:pStyle w:val="Heading2"/>
        <w:jc w:val="left"/>
      </w:pPr>
      <w:r>
        <w:rPr>
          <w:rFonts w:ascii="Liberation Sans" w:hAnsi="Liberation Sans" w:cs="Liberation Sans" w:eastAsia="Liberation Sans"/>
          <w:b/>
          <w:color w:val="174F78"/>
          <w:sz w:val="25"/>
        </w:rPr>
        <w:t>Stage 9 — Annual Review</w:t>
      </w:r>
    </w:p>
    <w:p>
      <w:pPr>
        <w:spacing w:after="120" w:line="276" w:lineRule="auto"/>
        <w:jc w:val="left"/>
      </w:pPr>
      <w:r>
        <w:rPr>
          <w:rFonts w:ascii="Liberation Sans" w:hAnsi="Liberation Sans" w:cs="Liberation Sans" w:eastAsia="Liberation Sans"/>
          <w:b w:val="0"/>
          <w:color w:val="1F2937"/>
          <w:sz w:val="22"/>
        </w:rPr>
        <w:t>Priorities are reviewed annually against new evidence, stakeholder needs, policy developments, research opportunities and completed work.</w:t>
      </w:r>
    </w:p>
    <w:p>
      <w:pPr>
        <w:pStyle w:val="Heading1"/>
        <w:jc w:val="left"/>
        <w:pBdr>
          <w:bottom w:val="single" w:sz="10" w:space="4" w:color="C5A35B"/>
        </w:pBdr>
      </w:pPr>
      <w:r>
        <w:rPr>
          <w:rFonts w:ascii="Liberation Sans" w:hAnsi="Liberation Sans" w:cs="Liberation Sans" w:eastAsia="Liberation Sans"/>
          <w:b/>
          <w:color w:val="0B2D4D"/>
          <w:sz w:val="34"/>
        </w:rPr>
        <w:t>16. Research Portfolio Architecture</w:t>
      </w:r>
    </w:p>
    <w:p>
      <w:pPr>
        <w:spacing w:after="120" w:line="276" w:lineRule="auto"/>
        <w:jc w:val="left"/>
      </w:pPr>
      <w:r>
        <w:rPr>
          <w:rFonts w:ascii="Liberation Sans" w:hAnsi="Liberation Sans" w:cs="Liberation Sans" w:eastAsia="Liberation Sans"/>
          <w:b w:val="0"/>
          <w:color w:val="1F2937"/>
          <w:sz w:val="22"/>
        </w:rPr>
        <w:t>Research under this Agenda may be delivered through six complementary program types.</w:t>
      </w:r>
    </w:p>
    <w:p>
      <w:pPr>
        <w:pStyle w:val="Heading2"/>
        <w:jc w:val="left"/>
      </w:pPr>
      <w:r>
        <w:rPr>
          <w:rFonts w:ascii="Liberation Sans" w:hAnsi="Liberation Sans" w:cs="Liberation Sans" w:eastAsia="Liberation Sans"/>
          <w:b/>
          <w:color w:val="174F78"/>
          <w:sz w:val="25"/>
        </w:rPr>
        <w:t>Flagship Research Programs</w:t>
      </w:r>
    </w:p>
    <w:p>
      <w:pPr>
        <w:spacing w:after="120" w:line="276" w:lineRule="auto"/>
        <w:jc w:val="left"/>
      </w:pPr>
      <w:r>
        <w:rPr>
          <w:rFonts w:ascii="Liberation Sans" w:hAnsi="Liberation Sans" w:cs="Liberation Sans" w:eastAsia="Liberation Sans"/>
          <w:b w:val="0"/>
          <w:color w:val="1F2937"/>
          <w:sz w:val="22"/>
        </w:rPr>
        <w:t>Multi-year research themes addressing major strategic questions.</w:t>
      </w:r>
    </w:p>
    <w:p>
      <w:pPr>
        <w:pStyle w:val="Heading2"/>
        <w:jc w:val="left"/>
      </w:pPr>
      <w:r>
        <w:rPr>
          <w:rFonts w:ascii="Liberation Sans" w:hAnsi="Liberation Sans" w:cs="Liberation Sans" w:eastAsia="Liberation Sans"/>
          <w:b/>
          <w:color w:val="174F78"/>
          <w:sz w:val="25"/>
        </w:rPr>
        <w:t>Applied Research Projects</w:t>
      </w:r>
    </w:p>
    <w:p>
      <w:pPr>
        <w:spacing w:after="120" w:line="276" w:lineRule="auto"/>
        <w:jc w:val="left"/>
      </w:pPr>
      <w:r>
        <w:rPr>
          <w:rFonts w:ascii="Liberation Sans" w:hAnsi="Liberation Sans" w:cs="Liberation Sans" w:eastAsia="Liberation Sans"/>
          <w:b w:val="0"/>
          <w:color w:val="1F2937"/>
          <w:sz w:val="22"/>
        </w:rPr>
        <w:t>Focused projects addressing defined institutional, policy, service or implementation problems.</w:t>
      </w:r>
    </w:p>
    <w:p>
      <w:pPr>
        <w:pStyle w:val="Heading2"/>
        <w:jc w:val="left"/>
      </w:pPr>
      <w:r>
        <w:rPr>
          <w:rFonts w:ascii="Liberation Sans" w:hAnsi="Liberation Sans" w:cs="Liberation Sans" w:eastAsia="Liberation Sans"/>
          <w:b/>
          <w:color w:val="174F78"/>
          <w:sz w:val="25"/>
        </w:rPr>
        <w:t>Rapid Evidence Programs</w:t>
      </w:r>
    </w:p>
    <w:p>
      <w:pPr>
        <w:spacing w:after="120" w:line="276" w:lineRule="auto"/>
        <w:jc w:val="left"/>
      </w:pPr>
      <w:r>
        <w:rPr>
          <w:rFonts w:ascii="Liberation Sans" w:hAnsi="Liberation Sans" w:cs="Liberation Sans" w:eastAsia="Liberation Sans"/>
          <w:b w:val="0"/>
          <w:color w:val="1F2937"/>
          <w:sz w:val="22"/>
        </w:rPr>
        <w:t>Rapid reviews, evidence briefs and evidence maps responding to emerging needs.</w:t>
      </w:r>
    </w:p>
    <w:p>
      <w:pPr>
        <w:pStyle w:val="Heading2"/>
        <w:jc w:val="left"/>
      </w:pPr>
      <w:r>
        <w:rPr>
          <w:rFonts w:ascii="Liberation Sans" w:hAnsi="Liberation Sans" w:cs="Liberation Sans" w:eastAsia="Liberation Sans"/>
          <w:b/>
          <w:color w:val="174F78"/>
          <w:sz w:val="25"/>
        </w:rPr>
        <w:t>Comparative and Multi-Country Research</w:t>
      </w:r>
    </w:p>
    <w:p>
      <w:pPr>
        <w:spacing w:after="120" w:line="276" w:lineRule="auto"/>
        <w:jc w:val="left"/>
      </w:pPr>
      <w:r>
        <w:rPr>
          <w:rFonts w:ascii="Liberation Sans" w:hAnsi="Liberation Sans" w:cs="Liberation Sans" w:eastAsia="Liberation Sans"/>
          <w:b w:val="0"/>
          <w:color w:val="1F2937"/>
          <w:sz w:val="22"/>
        </w:rPr>
        <w:t>Research comparing countries, systems, services or populations.</w:t>
      </w:r>
    </w:p>
    <w:p>
      <w:pPr>
        <w:pStyle w:val="Heading2"/>
        <w:jc w:val="left"/>
      </w:pPr>
      <w:r>
        <w:rPr>
          <w:rFonts w:ascii="Liberation Sans" w:hAnsi="Liberation Sans" w:cs="Liberation Sans" w:eastAsia="Liberation Sans"/>
          <w:b/>
          <w:color w:val="174F78"/>
          <w:sz w:val="25"/>
        </w:rPr>
        <w:t>Data and Intelligence Programs</w:t>
      </w:r>
    </w:p>
    <w:p>
      <w:pPr>
        <w:spacing w:after="120" w:line="276" w:lineRule="auto"/>
        <w:jc w:val="left"/>
      </w:pPr>
      <w:r>
        <w:rPr>
          <w:rFonts w:ascii="Liberation Sans" w:hAnsi="Liberation Sans" w:cs="Liberation Sans" w:eastAsia="Liberation Sans"/>
          <w:b w:val="0"/>
          <w:color w:val="1F2937"/>
          <w:sz w:val="22"/>
        </w:rPr>
        <w:t>Indicators, observatories, datasets, dashboards and benchmarking initiatives.</w:t>
      </w:r>
    </w:p>
    <w:p>
      <w:pPr>
        <w:pStyle w:val="Heading2"/>
        <w:jc w:val="left"/>
      </w:pPr>
      <w:r>
        <w:rPr>
          <w:rFonts w:ascii="Liberation Sans" w:hAnsi="Liberation Sans" w:cs="Liberation Sans" w:eastAsia="Liberation Sans"/>
          <w:b/>
          <w:color w:val="174F78"/>
          <w:sz w:val="25"/>
        </w:rPr>
        <w:t>Digital R&amp;D Programs</w:t>
      </w:r>
    </w:p>
    <w:p>
      <w:pPr>
        <w:spacing w:after="120" w:line="276" w:lineRule="auto"/>
        <w:jc w:val="left"/>
      </w:pPr>
      <w:r>
        <w:rPr>
          <w:rFonts w:ascii="Liberation Sans" w:hAnsi="Liberation Sans" w:cs="Liberation Sans" w:eastAsia="Liberation Sans"/>
          <w:b w:val="0"/>
          <w:color w:val="1F2937"/>
          <w:sz w:val="22"/>
        </w:rPr>
        <w:t>Research and evaluation involving digital systems, assistive technologies, data infrastructure and responsible AI.</w:t>
      </w:r>
    </w:p>
    <w:p>
      <w:pPr>
        <w:spacing w:after="120" w:line="276" w:lineRule="auto"/>
        <w:jc w:val="left"/>
      </w:pPr>
      <w:r>
        <w:rPr>
          <w:rFonts w:ascii="Liberation Sans" w:hAnsi="Liberation Sans" w:cs="Liberation Sans" w:eastAsia="Liberation Sans"/>
          <w:b w:val="0"/>
          <w:color w:val="1F2937"/>
          <w:sz w:val="22"/>
        </w:rPr>
        <w:t>Not every research domain needs to use every program type.</w:t>
      </w:r>
    </w:p>
    <w:p>
      <w:pPr>
        <w:pStyle w:val="Heading1"/>
        <w:jc w:val="left"/>
        <w:pBdr>
          <w:bottom w:val="single" w:sz="10" w:space="4" w:color="C5A35B"/>
        </w:pBdr>
      </w:pPr>
      <w:r>
        <w:rPr>
          <w:rFonts w:ascii="Liberation Sans" w:hAnsi="Liberation Sans" w:cs="Liberation Sans" w:eastAsia="Liberation Sans"/>
          <w:b/>
          <w:color w:val="0B2D4D"/>
          <w:sz w:val="34"/>
        </w:rPr>
        <w:t>17. From Research to Institutional Impact</w:t>
      </w:r>
    </w:p>
    <w:p>
      <w:pPr>
        <w:spacing w:after="120" w:line="276" w:lineRule="auto"/>
        <w:jc w:val="left"/>
      </w:pPr>
      <w:r>
        <w:rPr>
          <w:rFonts w:ascii="Liberation Sans" w:hAnsi="Liberation Sans" w:cs="Liberation Sans" w:eastAsia="Liberation Sans"/>
          <w:b w:val="0"/>
          <w:color w:val="1F2937"/>
          <w:sz w:val="22"/>
        </w:rPr>
        <w:t>Every major GARC research project should consider three potential levels of output.</w:t>
      </w:r>
    </w:p>
    <w:p>
      <w:pPr>
        <w:pStyle w:val="Heading2"/>
        <w:jc w:val="left"/>
      </w:pPr>
      <w:r>
        <w:rPr>
          <w:rFonts w:ascii="Liberation Sans" w:hAnsi="Liberation Sans" w:cs="Liberation Sans" w:eastAsia="Liberation Sans"/>
          <w:b/>
          <w:color w:val="174F78"/>
          <w:sz w:val="25"/>
        </w:rPr>
        <w:t>Level 1 — Research Output</w:t>
      </w:r>
    </w:p>
    <w:p>
      <w:pPr>
        <w:spacing w:after="120" w:line="276" w:lineRule="auto"/>
        <w:jc w:val="left"/>
      </w:pPr>
      <w:r>
        <w:rPr>
          <w:rFonts w:ascii="Liberation Sans" w:hAnsi="Liberation Sans" w:cs="Liberation Sans" w:eastAsia="Liberation Sans"/>
          <w:b w:val="0"/>
          <w:color w:val="1F2937"/>
          <w:sz w:val="22"/>
        </w:rPr>
        <w:t>Examples: research report; systematic review; evidence map; dataset; comparative study; working paper; academic manuscript.</w:t>
      </w:r>
    </w:p>
    <w:p>
      <w:pPr>
        <w:pStyle w:val="Heading2"/>
        <w:jc w:val="left"/>
      </w:pPr>
      <w:r>
        <w:rPr>
          <w:rFonts w:ascii="Liberation Sans" w:hAnsi="Liberation Sans" w:cs="Liberation Sans" w:eastAsia="Liberation Sans"/>
          <w:b/>
          <w:color w:val="174F78"/>
          <w:sz w:val="25"/>
        </w:rPr>
        <w:t>Level 2 — Decision Output</w:t>
      </w:r>
    </w:p>
    <w:p>
      <w:pPr>
        <w:spacing w:after="120" w:line="276" w:lineRule="auto"/>
        <w:jc w:val="left"/>
      </w:pPr>
      <w:r>
        <w:rPr>
          <w:rFonts w:ascii="Liberation Sans" w:hAnsi="Liberation Sans" w:cs="Liberation Sans" w:eastAsia="Liberation Sans"/>
          <w:b w:val="0"/>
          <w:color w:val="1F2937"/>
          <w:sz w:val="22"/>
        </w:rPr>
        <w:t>Examples: policy brief; executive brief; evidence note; benchmarking report; decision framework; country profile.</w:t>
      </w:r>
    </w:p>
    <w:p>
      <w:pPr>
        <w:pStyle w:val="Heading2"/>
        <w:jc w:val="left"/>
      </w:pPr>
      <w:r>
        <w:rPr>
          <w:rFonts w:ascii="Liberation Sans" w:hAnsi="Liberation Sans" w:cs="Liberation Sans" w:eastAsia="Liberation Sans"/>
          <w:b/>
          <w:color w:val="174F78"/>
          <w:sz w:val="25"/>
        </w:rPr>
        <w:t>Level 3 — Implementation Asset</w:t>
      </w:r>
    </w:p>
    <w:p>
      <w:pPr>
        <w:spacing w:after="120" w:line="276" w:lineRule="auto"/>
        <w:jc w:val="left"/>
      </w:pPr>
      <w:r>
        <w:rPr>
          <w:rFonts w:ascii="Liberation Sans" w:hAnsi="Liberation Sans" w:cs="Liberation Sans" w:eastAsia="Liberation Sans"/>
          <w:b w:val="0"/>
          <w:color w:val="1F2937"/>
          <w:sz w:val="22"/>
        </w:rPr>
        <w:t>Where appropriate: guideline; framework; protocol; indicator set; assessment tool; dashboard; implementation roadmap; institutional toolkit.</w:t>
      </w:r>
    </w:p>
    <w:p>
      <w:pPr>
        <w:spacing w:after="120" w:line="276" w:lineRule="auto"/>
        <w:jc w:val="left"/>
      </w:pPr>
      <w:r>
        <w:rPr>
          <w:rFonts w:ascii="Liberation Sans" w:hAnsi="Liberation Sans" w:cs="Liberation Sans" w:eastAsia="Liberation Sans"/>
          <w:b w:val="0"/>
          <w:color w:val="1F2937"/>
          <w:sz w:val="22"/>
        </w:rPr>
        <w:t>This structure ensures that research translation is considered from the beginning rather than added after publication.</w:t>
      </w:r>
    </w:p>
    <w:p>
      <w:pPr>
        <w:pStyle w:val="Heading1"/>
        <w:jc w:val="left"/>
        <w:pBdr>
          <w:bottom w:val="single" w:sz="10" w:space="4" w:color="C5A35B"/>
        </w:pBdr>
      </w:pPr>
      <w:r>
        <w:rPr>
          <w:rFonts w:ascii="Liberation Sans" w:hAnsi="Liberation Sans" w:cs="Liberation Sans" w:eastAsia="Liberation Sans"/>
          <w:b/>
          <w:color w:val="0B2D4D"/>
          <w:sz w:val="34"/>
        </w:rPr>
        <w:t>18. Stakeholder and Lived-Experience Participation</w:t>
      </w:r>
    </w:p>
    <w:p>
      <w:pPr>
        <w:spacing w:after="120" w:line="276" w:lineRule="auto"/>
        <w:jc w:val="left"/>
      </w:pPr>
      <w:r>
        <w:rPr>
          <w:rFonts w:ascii="Liberation Sans" w:hAnsi="Liberation Sans" w:cs="Liberation Sans" w:eastAsia="Liberation Sans"/>
          <w:b w:val="0"/>
          <w:color w:val="1F2937"/>
          <w:sz w:val="22"/>
        </w:rPr>
        <w:t>GARC supports research with, rather than only research about, autistic communities whenever appropriate to the research question.</w:t>
      </w:r>
    </w:p>
    <w:p>
      <w:pPr>
        <w:spacing w:after="120" w:line="276" w:lineRule="auto"/>
        <w:jc w:val="left"/>
      </w:pPr>
      <w:r>
        <w:rPr>
          <w:rFonts w:ascii="Liberation Sans" w:hAnsi="Liberation Sans" w:cs="Liberation Sans" w:eastAsia="Liberation Sans"/>
          <w:b w:val="0"/>
          <w:color w:val="1F2937"/>
          <w:sz w:val="22"/>
        </w:rPr>
        <w:t>Participation may include:</w:t>
      </w:r>
    </w:p>
    <w:p>
      <w:pPr>
        <w:pStyle w:val="ListBullet"/>
        <w:spacing w:after="60" w:line="259" w:lineRule="auto"/>
        <w:jc w:val="left"/>
      </w:pPr>
      <w:r>
        <w:rPr>
          <w:rFonts w:ascii="Liberation Sans" w:hAnsi="Liberation Sans" w:cs="Liberation Sans" w:eastAsia="Liberation Sans"/>
          <w:b w:val="0"/>
          <w:color w:val="1F2937"/>
          <w:sz w:val="21"/>
        </w:rPr>
        <w:t>identifying priority questions;</w:t>
      </w:r>
    </w:p>
    <w:p>
      <w:pPr>
        <w:pStyle w:val="ListBullet"/>
        <w:spacing w:after="60" w:line="259" w:lineRule="auto"/>
        <w:jc w:val="left"/>
      </w:pPr>
      <w:r>
        <w:rPr>
          <w:rFonts w:ascii="Liberation Sans" w:hAnsi="Liberation Sans" w:cs="Liberation Sans" w:eastAsia="Liberation Sans"/>
          <w:b w:val="0"/>
          <w:color w:val="1F2937"/>
          <w:sz w:val="21"/>
        </w:rPr>
        <w:t>advising on research design;</w:t>
      </w:r>
    </w:p>
    <w:p>
      <w:pPr>
        <w:pStyle w:val="ListBullet"/>
        <w:spacing w:after="60" w:line="259" w:lineRule="auto"/>
        <w:jc w:val="left"/>
      </w:pPr>
      <w:r>
        <w:rPr>
          <w:rFonts w:ascii="Liberation Sans" w:hAnsi="Liberation Sans" w:cs="Liberation Sans" w:eastAsia="Liberation Sans"/>
          <w:b w:val="0"/>
          <w:color w:val="1F2937"/>
          <w:sz w:val="21"/>
        </w:rPr>
        <w:t>reviewing terminology;</w:t>
      </w:r>
    </w:p>
    <w:p>
      <w:pPr>
        <w:pStyle w:val="ListBullet"/>
        <w:spacing w:after="60" w:line="259" w:lineRule="auto"/>
        <w:jc w:val="left"/>
      </w:pPr>
      <w:r>
        <w:rPr>
          <w:rFonts w:ascii="Liberation Sans" w:hAnsi="Liberation Sans" w:cs="Liberation Sans" w:eastAsia="Liberation Sans"/>
          <w:b w:val="0"/>
          <w:color w:val="1F2937"/>
          <w:sz w:val="21"/>
        </w:rPr>
        <w:t>assessing burden and accessibility of participation;</w:t>
      </w:r>
    </w:p>
    <w:p>
      <w:pPr>
        <w:pStyle w:val="ListBullet"/>
        <w:spacing w:after="60" w:line="259" w:lineRule="auto"/>
        <w:jc w:val="left"/>
      </w:pPr>
      <w:r>
        <w:rPr>
          <w:rFonts w:ascii="Liberation Sans" w:hAnsi="Liberation Sans" w:cs="Liberation Sans" w:eastAsia="Liberation Sans"/>
          <w:b w:val="0"/>
          <w:color w:val="1F2937"/>
          <w:sz w:val="21"/>
        </w:rPr>
        <w:t>interpreting findings;</w:t>
      </w:r>
    </w:p>
    <w:p>
      <w:pPr>
        <w:pStyle w:val="ListBullet"/>
        <w:spacing w:after="60" w:line="259" w:lineRule="auto"/>
        <w:jc w:val="left"/>
      </w:pPr>
      <w:r>
        <w:rPr>
          <w:rFonts w:ascii="Liberation Sans" w:hAnsi="Liberation Sans" w:cs="Liberation Sans" w:eastAsia="Liberation Sans"/>
          <w:b w:val="0"/>
          <w:color w:val="1F2937"/>
          <w:sz w:val="21"/>
        </w:rPr>
        <w:t>defining meaningful outcomes;</w:t>
      </w:r>
    </w:p>
    <w:p>
      <w:pPr>
        <w:pStyle w:val="ListBullet"/>
        <w:spacing w:after="60" w:line="259" w:lineRule="auto"/>
        <w:jc w:val="left"/>
      </w:pPr>
      <w:r>
        <w:rPr>
          <w:rFonts w:ascii="Liberation Sans" w:hAnsi="Liberation Sans" w:cs="Liberation Sans" w:eastAsia="Liberation Sans"/>
          <w:b w:val="0"/>
          <w:color w:val="1F2937"/>
          <w:sz w:val="21"/>
        </w:rPr>
        <w:t>reviewing public summaries;</w:t>
      </w:r>
    </w:p>
    <w:p>
      <w:pPr>
        <w:pStyle w:val="ListBullet"/>
        <w:spacing w:after="60" w:line="259" w:lineRule="auto"/>
        <w:jc w:val="left"/>
      </w:pPr>
      <w:r>
        <w:rPr>
          <w:rFonts w:ascii="Liberation Sans" w:hAnsi="Liberation Sans" w:cs="Liberation Sans" w:eastAsia="Liberation Sans"/>
          <w:b w:val="0"/>
          <w:color w:val="1F2937"/>
          <w:sz w:val="21"/>
        </w:rPr>
        <w:t>contributing to dissemination.</w:t>
      </w:r>
    </w:p>
    <w:p>
      <w:pPr>
        <w:spacing w:after="120" w:line="276" w:lineRule="auto"/>
        <w:jc w:val="left"/>
      </w:pPr>
      <w:r>
        <w:rPr>
          <w:rFonts w:ascii="Liberation Sans" w:hAnsi="Liberation Sans" w:cs="Liberation Sans" w:eastAsia="Liberation Sans"/>
          <w:b w:val="0"/>
          <w:color w:val="1F2937"/>
          <w:sz w:val="22"/>
        </w:rPr>
        <w:t>The level of participation should be appropriate to the study and should never be represented symbolically where meaningful participation has not occurred. Research participants and community contributors are distinct roles and should be governed accordingly.</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19. Scientific Governance Principles</w:t>
      </w:r>
    </w:p>
    <w:p>
      <w:pPr>
        <w:spacing w:after="120" w:line="276" w:lineRule="auto"/>
        <w:jc w:val="left"/>
      </w:pPr>
      <w:r>
        <w:rPr>
          <w:rFonts w:ascii="Liberation Sans" w:hAnsi="Liberation Sans" w:cs="Liberation Sans" w:eastAsia="Liberation Sans"/>
          <w:b w:val="0"/>
          <w:color w:val="1F2937"/>
          <w:sz w:val="22"/>
        </w:rPr>
        <w:t>The GARC research portfolio will operate according to ten governance principles.</w:t>
      </w:r>
    </w:p>
    <w:p>
      <w:pPr>
        <w:pStyle w:val="Heading2"/>
        <w:jc w:val="left"/>
      </w:pPr>
      <w:r>
        <w:rPr>
          <w:rFonts w:ascii="Liberation Sans" w:hAnsi="Liberation Sans" w:cs="Liberation Sans" w:eastAsia="Liberation Sans"/>
          <w:b/>
          <w:color w:val="174F78"/>
          <w:sz w:val="25"/>
        </w:rPr>
        <w:t>19.1 Scientific Independence</w:t>
      </w:r>
    </w:p>
    <w:p>
      <w:pPr>
        <w:spacing w:after="120" w:line="276" w:lineRule="auto"/>
        <w:jc w:val="left"/>
      </w:pPr>
      <w:r>
        <w:rPr>
          <w:rFonts w:ascii="Liberation Sans" w:hAnsi="Liberation Sans" w:cs="Liberation Sans" w:eastAsia="Liberation Sans"/>
          <w:b w:val="0"/>
          <w:color w:val="1F2937"/>
          <w:sz w:val="22"/>
        </w:rPr>
        <w:t>Research conclusions should reflect evidence and analysis rather than institutional, sponsor or partner preference.</w:t>
      </w:r>
    </w:p>
    <w:p>
      <w:pPr>
        <w:pStyle w:val="Heading2"/>
        <w:jc w:val="left"/>
      </w:pPr>
      <w:r>
        <w:rPr>
          <w:rFonts w:ascii="Liberation Sans" w:hAnsi="Liberation Sans" w:cs="Liberation Sans" w:eastAsia="Liberation Sans"/>
          <w:b/>
          <w:color w:val="174F78"/>
          <w:sz w:val="25"/>
        </w:rPr>
        <w:t>19.2 Research Integrity</w:t>
      </w:r>
    </w:p>
    <w:p>
      <w:pPr>
        <w:spacing w:after="120" w:line="276" w:lineRule="auto"/>
        <w:jc w:val="left"/>
      </w:pPr>
      <w:r>
        <w:rPr>
          <w:rFonts w:ascii="Liberation Sans" w:hAnsi="Liberation Sans" w:cs="Liberation Sans" w:eastAsia="Liberation Sans"/>
          <w:b w:val="0"/>
          <w:color w:val="1F2937"/>
          <w:sz w:val="22"/>
        </w:rPr>
        <w:t>Research must follow appropriate standards for accuracy, methodology, authorship, citation, conflicts of interest and correction.</w:t>
      </w:r>
    </w:p>
    <w:p>
      <w:pPr>
        <w:pStyle w:val="Heading2"/>
        <w:jc w:val="left"/>
      </w:pPr>
      <w:r>
        <w:rPr>
          <w:rFonts w:ascii="Liberation Sans" w:hAnsi="Liberation Sans" w:cs="Liberation Sans" w:eastAsia="Liberation Sans"/>
          <w:b/>
          <w:color w:val="174F78"/>
          <w:sz w:val="25"/>
        </w:rPr>
        <w:t>19.3 Ethics by Design</w:t>
      </w:r>
    </w:p>
    <w:p>
      <w:pPr>
        <w:spacing w:after="120" w:line="276" w:lineRule="auto"/>
        <w:jc w:val="left"/>
      </w:pPr>
      <w:r>
        <w:rPr>
          <w:rFonts w:ascii="Liberation Sans" w:hAnsi="Liberation Sans" w:cs="Liberation Sans" w:eastAsia="Liberation Sans"/>
          <w:b w:val="0"/>
          <w:color w:val="1F2937"/>
          <w:sz w:val="22"/>
        </w:rPr>
        <w:t>Ethical considerations should be incorporated during research design rather than assessed only immediately before implementation.</w:t>
      </w:r>
    </w:p>
    <w:p>
      <w:pPr>
        <w:pStyle w:val="Heading2"/>
        <w:jc w:val="left"/>
      </w:pPr>
      <w:r>
        <w:rPr>
          <w:rFonts w:ascii="Liberation Sans" w:hAnsi="Liberation Sans" w:cs="Liberation Sans" w:eastAsia="Liberation Sans"/>
          <w:b/>
          <w:color w:val="174F78"/>
          <w:sz w:val="25"/>
        </w:rPr>
        <w:t>19.4 Appropriate External Approval</w:t>
      </w:r>
    </w:p>
    <w:p>
      <w:pPr>
        <w:spacing w:after="120" w:line="276" w:lineRule="auto"/>
        <w:jc w:val="left"/>
      </w:pPr>
      <w:r>
        <w:rPr>
          <w:rFonts w:ascii="Liberation Sans" w:hAnsi="Liberation Sans" w:cs="Liberation Sans" w:eastAsia="Liberation Sans"/>
          <w:b w:val="0"/>
          <w:color w:val="1F2937"/>
          <w:sz w:val="22"/>
        </w:rPr>
        <w:t>Human-participant research must obtain the relevant independent or external approval when required.</w:t>
      </w:r>
    </w:p>
    <w:p>
      <w:pPr>
        <w:pStyle w:val="Heading2"/>
        <w:jc w:val="left"/>
      </w:pPr>
      <w:r>
        <w:rPr>
          <w:rFonts w:ascii="Liberation Sans" w:hAnsi="Liberation Sans" w:cs="Liberation Sans" w:eastAsia="Liberation Sans"/>
          <w:b/>
          <w:color w:val="174F78"/>
          <w:sz w:val="25"/>
        </w:rPr>
        <w:t>19.5 Safeguarding</w:t>
      </w:r>
    </w:p>
    <w:p>
      <w:pPr>
        <w:spacing w:after="120" w:line="276" w:lineRule="auto"/>
        <w:jc w:val="left"/>
      </w:pPr>
      <w:r>
        <w:rPr>
          <w:rFonts w:ascii="Liberation Sans" w:hAnsi="Liberation Sans" w:cs="Liberation Sans" w:eastAsia="Liberation Sans"/>
          <w:b w:val="0"/>
          <w:color w:val="1F2937"/>
          <w:sz w:val="22"/>
        </w:rPr>
        <w:t>Research involving children or potentially vulnerable populations requires appropriate safeguarding controls.</w:t>
      </w:r>
    </w:p>
    <w:p>
      <w:pPr>
        <w:pStyle w:val="Heading2"/>
        <w:jc w:val="left"/>
      </w:pPr>
      <w:r>
        <w:rPr>
          <w:rFonts w:ascii="Liberation Sans" w:hAnsi="Liberation Sans" w:cs="Liberation Sans" w:eastAsia="Liberation Sans"/>
          <w:b/>
          <w:color w:val="174F78"/>
          <w:sz w:val="25"/>
        </w:rPr>
        <w:t>19.6 Data Governance</w:t>
      </w:r>
    </w:p>
    <w:p>
      <w:pPr>
        <w:spacing w:after="120" w:line="276" w:lineRule="auto"/>
        <w:jc w:val="left"/>
      </w:pPr>
      <w:r>
        <w:rPr>
          <w:rFonts w:ascii="Liberation Sans" w:hAnsi="Liberation Sans" w:cs="Liberation Sans" w:eastAsia="Liberation Sans"/>
          <w:b w:val="0"/>
          <w:color w:val="1F2937"/>
          <w:sz w:val="22"/>
        </w:rPr>
        <w:t>Research data must be governed through purpose limitation, data minimisation, access controls, security, retention and documented sharing arrangements.</w:t>
      </w:r>
    </w:p>
    <w:p>
      <w:pPr>
        <w:pStyle w:val="Heading2"/>
        <w:jc w:val="left"/>
      </w:pPr>
      <w:r>
        <w:rPr>
          <w:rFonts w:ascii="Liberation Sans" w:hAnsi="Liberation Sans" w:cs="Liberation Sans" w:eastAsia="Liberation Sans"/>
          <w:b/>
          <w:color w:val="174F78"/>
          <w:sz w:val="25"/>
        </w:rPr>
        <w:t>19.7 Transparency</w:t>
      </w:r>
    </w:p>
    <w:p>
      <w:pPr>
        <w:spacing w:after="120" w:line="276" w:lineRule="auto"/>
        <w:jc w:val="left"/>
      </w:pPr>
      <w:r>
        <w:rPr>
          <w:rFonts w:ascii="Liberation Sans" w:hAnsi="Liberation Sans" w:cs="Liberation Sans" w:eastAsia="Liberation Sans"/>
          <w:b w:val="0"/>
          <w:color w:val="1F2937"/>
          <w:sz w:val="22"/>
        </w:rPr>
        <w:t>Material methods, limitations, conflicts and evidence boundaries should be disclosed appropriately.</w:t>
      </w:r>
    </w:p>
    <w:p>
      <w:pPr>
        <w:pStyle w:val="Heading2"/>
        <w:jc w:val="left"/>
      </w:pPr>
      <w:r>
        <w:rPr>
          <w:rFonts w:ascii="Liberation Sans" w:hAnsi="Liberation Sans" w:cs="Liberation Sans" w:eastAsia="Liberation Sans"/>
          <w:b/>
          <w:color w:val="174F78"/>
          <w:sz w:val="25"/>
        </w:rPr>
        <w:t>19.8 Human Oversight of AI</w:t>
      </w:r>
    </w:p>
    <w:p>
      <w:pPr>
        <w:spacing w:after="120" w:line="276" w:lineRule="auto"/>
        <w:jc w:val="left"/>
      </w:pPr>
      <w:r>
        <w:rPr>
          <w:rFonts w:ascii="Liberation Sans" w:hAnsi="Liberation Sans" w:cs="Liberation Sans" w:eastAsia="Liberation Sans"/>
          <w:b w:val="0"/>
          <w:color w:val="1F2937"/>
          <w:sz w:val="22"/>
        </w:rPr>
        <w:t>AI may support research but must not replace accountable scientific judgement.</w:t>
      </w:r>
    </w:p>
    <w:p>
      <w:pPr>
        <w:pStyle w:val="Heading2"/>
        <w:jc w:val="left"/>
      </w:pPr>
      <w:r>
        <w:rPr>
          <w:rFonts w:ascii="Liberation Sans" w:hAnsi="Liberation Sans" w:cs="Liberation Sans" w:eastAsia="Liberation Sans"/>
          <w:b/>
          <w:color w:val="174F78"/>
          <w:sz w:val="25"/>
        </w:rPr>
        <w:t>19.9 Proportionate Scientific Review</w:t>
      </w:r>
    </w:p>
    <w:p>
      <w:pPr>
        <w:spacing w:after="120" w:line="276" w:lineRule="auto"/>
        <w:jc w:val="left"/>
      </w:pPr>
      <w:r>
        <w:rPr>
          <w:rFonts w:ascii="Liberation Sans" w:hAnsi="Liberation Sans" w:cs="Liberation Sans" w:eastAsia="Liberation Sans"/>
          <w:b w:val="0"/>
          <w:color w:val="1F2937"/>
          <w:sz w:val="22"/>
        </w:rPr>
        <w:t>The level of review should correspond to the scientific, ethical and institutional risk associated with the activity.</w:t>
      </w:r>
    </w:p>
    <w:p>
      <w:pPr>
        <w:pStyle w:val="Heading2"/>
        <w:jc w:val="left"/>
      </w:pPr>
      <w:r>
        <w:rPr>
          <w:rFonts w:ascii="Liberation Sans" w:hAnsi="Liberation Sans" w:cs="Liberation Sans" w:eastAsia="Liberation Sans"/>
          <w:b/>
          <w:color w:val="174F78"/>
          <w:sz w:val="25"/>
        </w:rPr>
        <w:t>19.10 Accountability</w:t>
      </w:r>
    </w:p>
    <w:p>
      <w:pPr>
        <w:spacing w:after="120" w:line="276" w:lineRule="auto"/>
        <w:jc w:val="left"/>
      </w:pPr>
      <w:r>
        <w:rPr>
          <w:rFonts w:ascii="Liberation Sans" w:hAnsi="Liberation Sans" w:cs="Liberation Sans" w:eastAsia="Liberation Sans"/>
          <w:b w:val="0"/>
          <w:color w:val="1F2937"/>
          <w:sz w:val="22"/>
        </w:rPr>
        <w:t>Every project should have identifiable ownership, review responsibility and documented status.</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20. Institutional Ownership: GRS Group vs GARC</w:t>
      </w:r>
    </w:p>
    <w:p>
      <w:pPr>
        <w:spacing w:after="120" w:line="276" w:lineRule="auto"/>
        <w:jc w:val="left"/>
      </w:pPr>
      <w:r>
        <w:rPr>
          <w:rFonts w:ascii="Liberation Sans" w:hAnsi="Liberation Sans" w:cs="Liberation Sans" w:eastAsia="Liberation Sans"/>
          <w:b w:val="0"/>
          <w:color w:val="1F2937"/>
          <w:sz w:val="22"/>
        </w:rPr>
        <w:t>The GARC pilot operates under the principle:</w:t>
      </w: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Never build for GARC what GRS can own centrally.</w:t>
            </w:r>
          </w:p>
        </w:tc>
      </w:tr>
    </w:tbl>
    <w:p>
      <w:pPr>
        <w:spacing w:after="0"/>
      </w:pP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Never centralise in GRS what genuinely requires scientific specialisation inside GARC.</w:t>
            </w:r>
          </w:p>
        </w:tc>
      </w:tr>
    </w:tbl>
    <w:p>
      <w:pPr>
        <w:spacing w:after="0"/>
      </w:pPr>
    </w:p>
    <w:p>
      <w:pPr>
        <w:pStyle w:val="Heading2"/>
        <w:jc w:val="left"/>
      </w:pPr>
      <w:r>
        <w:rPr>
          <w:rFonts w:ascii="Liberation Sans" w:hAnsi="Liberation Sans" w:cs="Liberation Sans" w:eastAsia="Liberation Sans"/>
          <w:b/>
          <w:color w:val="174F78"/>
          <w:sz w:val="25"/>
        </w:rPr>
        <w:t>GRS Group Owns Centrally</w:t>
      </w:r>
    </w:p>
    <w:p>
      <w:pPr>
        <w:spacing w:after="120" w:line="276" w:lineRule="auto"/>
        <w:jc w:val="left"/>
      </w:pPr>
      <w:r>
        <w:rPr>
          <w:rFonts w:ascii="Liberation Sans" w:hAnsi="Liberation Sans" w:cs="Liberation Sans" w:eastAsia="Liberation Sans"/>
          <w:b w:val="0"/>
          <w:color w:val="1F2937"/>
          <w:sz w:val="22"/>
        </w:rPr>
        <w:t>GRS should maintain the shared institutional backbone for:</w:t>
      </w:r>
    </w:p>
    <w:p>
      <w:pPr>
        <w:pStyle w:val="ListBullet"/>
        <w:spacing w:after="60" w:line="259" w:lineRule="auto"/>
        <w:jc w:val="left"/>
      </w:pPr>
      <w:r>
        <w:rPr>
          <w:rFonts w:ascii="Liberation Sans" w:hAnsi="Liberation Sans" w:cs="Liberation Sans" w:eastAsia="Liberation Sans"/>
          <w:b w:val="0"/>
          <w:color w:val="1F2937"/>
          <w:sz w:val="21"/>
        </w:rPr>
        <w:t>master research governance framework;</w:t>
      </w:r>
    </w:p>
    <w:p>
      <w:pPr>
        <w:pStyle w:val="ListBullet"/>
        <w:spacing w:after="60" w:line="259" w:lineRule="auto"/>
        <w:jc w:val="left"/>
      </w:pPr>
      <w:r>
        <w:rPr>
          <w:rFonts w:ascii="Liberation Sans" w:hAnsi="Liberation Sans" w:cs="Liberation Sans" w:eastAsia="Liberation Sans"/>
          <w:b w:val="0"/>
          <w:color w:val="1F2937"/>
          <w:sz w:val="21"/>
        </w:rPr>
        <w:t>research integrity standards;</w:t>
      </w:r>
    </w:p>
    <w:p>
      <w:pPr>
        <w:pStyle w:val="ListBullet"/>
        <w:spacing w:after="60" w:line="259" w:lineRule="auto"/>
        <w:jc w:val="left"/>
      </w:pPr>
      <w:r>
        <w:rPr>
          <w:rFonts w:ascii="Liberation Sans" w:hAnsi="Liberation Sans" w:cs="Liberation Sans" w:eastAsia="Liberation Sans"/>
          <w:b w:val="0"/>
          <w:color w:val="1F2937"/>
          <w:sz w:val="21"/>
        </w:rPr>
        <w:t>generic research workflows;</w:t>
      </w:r>
    </w:p>
    <w:p>
      <w:pPr>
        <w:pStyle w:val="ListBullet"/>
        <w:spacing w:after="60" w:line="259" w:lineRule="auto"/>
        <w:jc w:val="left"/>
      </w:pPr>
      <w:r>
        <w:rPr>
          <w:rFonts w:ascii="Liberation Sans" w:hAnsi="Liberation Sans" w:cs="Liberation Sans" w:eastAsia="Liberation Sans"/>
          <w:b w:val="0"/>
          <w:color w:val="1F2937"/>
          <w:sz w:val="21"/>
        </w:rPr>
        <w:t>project and publication pipelines;</w:t>
      </w:r>
    </w:p>
    <w:p>
      <w:pPr>
        <w:pStyle w:val="ListBullet"/>
        <w:spacing w:after="60" w:line="259" w:lineRule="auto"/>
        <w:jc w:val="left"/>
      </w:pPr>
      <w:r>
        <w:rPr>
          <w:rFonts w:ascii="Liberation Sans" w:hAnsi="Liberation Sans" w:cs="Liberation Sans" w:eastAsia="Liberation Sans"/>
          <w:b w:val="0"/>
          <w:color w:val="1F2937"/>
          <w:sz w:val="21"/>
        </w:rPr>
        <w:t>institutional policy architecture;</w:t>
      </w:r>
    </w:p>
    <w:p>
      <w:pPr>
        <w:pStyle w:val="ListBullet"/>
        <w:spacing w:after="60" w:line="259" w:lineRule="auto"/>
        <w:jc w:val="left"/>
      </w:pPr>
      <w:r>
        <w:rPr>
          <w:rFonts w:ascii="Liberation Sans" w:hAnsi="Liberation Sans" w:cs="Liberation Sans" w:eastAsia="Liberation Sans"/>
          <w:b w:val="0"/>
          <w:color w:val="1F2937"/>
          <w:sz w:val="21"/>
        </w:rPr>
        <w:t>information-security baseline;</w:t>
      </w:r>
    </w:p>
    <w:p>
      <w:pPr>
        <w:pStyle w:val="ListBullet"/>
        <w:spacing w:after="60" w:line="259" w:lineRule="auto"/>
        <w:jc w:val="left"/>
      </w:pPr>
      <w:r>
        <w:rPr>
          <w:rFonts w:ascii="Liberation Sans" w:hAnsi="Liberation Sans" w:cs="Liberation Sans" w:eastAsia="Liberation Sans"/>
          <w:b w:val="0"/>
          <w:color w:val="1F2937"/>
          <w:sz w:val="21"/>
        </w:rPr>
        <w:t>data-governance baseline;</w:t>
      </w:r>
    </w:p>
    <w:p>
      <w:pPr>
        <w:pStyle w:val="ListBullet"/>
        <w:spacing w:after="60" w:line="259" w:lineRule="auto"/>
        <w:jc w:val="left"/>
      </w:pPr>
      <w:r>
        <w:rPr>
          <w:rFonts w:ascii="Liberation Sans" w:hAnsi="Liberation Sans" w:cs="Liberation Sans" w:eastAsia="Liberation Sans"/>
          <w:b w:val="0"/>
          <w:color w:val="1F2937"/>
          <w:sz w:val="21"/>
        </w:rPr>
        <w:t>publication governance;</w:t>
      </w:r>
    </w:p>
    <w:p>
      <w:pPr>
        <w:pStyle w:val="ListBullet"/>
        <w:spacing w:after="60" w:line="259" w:lineRule="auto"/>
        <w:jc w:val="left"/>
      </w:pPr>
      <w:r>
        <w:rPr>
          <w:rFonts w:ascii="Liberation Sans" w:hAnsi="Liberation Sans" w:cs="Liberation Sans" w:eastAsia="Liberation Sans"/>
          <w:b w:val="0"/>
          <w:color w:val="1F2937"/>
          <w:sz w:val="21"/>
        </w:rPr>
        <w:t>document control and versioning;</w:t>
      </w:r>
    </w:p>
    <w:p>
      <w:pPr>
        <w:pStyle w:val="ListBullet"/>
        <w:spacing w:after="60" w:line="259" w:lineRule="auto"/>
        <w:jc w:val="left"/>
      </w:pPr>
      <w:r>
        <w:rPr>
          <w:rFonts w:ascii="Liberation Sans" w:hAnsi="Liberation Sans" w:cs="Liberation Sans" w:eastAsia="Liberation Sans"/>
          <w:b w:val="0"/>
          <w:color w:val="1F2937"/>
          <w:sz w:val="21"/>
        </w:rPr>
        <w:t>common research templates;</w:t>
      </w:r>
    </w:p>
    <w:p>
      <w:pPr>
        <w:pStyle w:val="ListBullet"/>
        <w:spacing w:after="60" w:line="259" w:lineRule="auto"/>
        <w:jc w:val="left"/>
      </w:pPr>
      <w:r>
        <w:rPr>
          <w:rFonts w:ascii="Liberation Sans" w:hAnsi="Liberation Sans" w:cs="Liberation Sans" w:eastAsia="Liberation Sans"/>
          <w:b w:val="0"/>
          <w:color w:val="1F2937"/>
          <w:sz w:val="21"/>
        </w:rPr>
        <w:t>central research library architecture;</w:t>
      </w:r>
    </w:p>
    <w:p>
      <w:pPr>
        <w:pStyle w:val="ListBullet"/>
        <w:spacing w:after="60" w:line="259" w:lineRule="auto"/>
        <w:jc w:val="left"/>
      </w:pPr>
      <w:r>
        <w:rPr>
          <w:rFonts w:ascii="Liberation Sans" w:hAnsi="Liberation Sans" w:cs="Liberation Sans" w:eastAsia="Liberation Sans"/>
          <w:b w:val="0"/>
          <w:color w:val="1F2937"/>
          <w:sz w:val="21"/>
        </w:rPr>
        <w:t>Zotero infrastructure;</w:t>
      </w:r>
    </w:p>
    <w:p>
      <w:pPr>
        <w:pStyle w:val="ListBullet"/>
        <w:spacing w:after="60" w:line="259" w:lineRule="auto"/>
        <w:jc w:val="left"/>
      </w:pPr>
      <w:r>
        <w:rPr>
          <w:rFonts w:ascii="Liberation Sans" w:hAnsi="Liberation Sans" w:cs="Liberation Sans" w:eastAsia="Liberation Sans"/>
          <w:b w:val="0"/>
          <w:color w:val="1F2937"/>
          <w:sz w:val="21"/>
        </w:rPr>
        <w:t>Zenodo publication architecture;</w:t>
      </w:r>
    </w:p>
    <w:p>
      <w:pPr>
        <w:pStyle w:val="ListBullet"/>
        <w:spacing w:after="60" w:line="259" w:lineRule="auto"/>
        <w:jc w:val="left"/>
      </w:pPr>
      <w:r>
        <w:rPr>
          <w:rFonts w:ascii="Liberation Sans" w:hAnsi="Liberation Sans" w:cs="Liberation Sans" w:eastAsia="Liberation Sans"/>
          <w:b w:val="0"/>
          <w:color w:val="1F2937"/>
          <w:sz w:val="21"/>
        </w:rPr>
        <w:t>ClickUp workflow structure;</w:t>
      </w:r>
    </w:p>
    <w:p>
      <w:pPr>
        <w:pStyle w:val="ListBullet"/>
        <w:spacing w:after="60" w:line="259" w:lineRule="auto"/>
        <w:jc w:val="left"/>
      </w:pPr>
      <w:r>
        <w:rPr>
          <w:rFonts w:ascii="Liberation Sans" w:hAnsi="Liberation Sans" w:cs="Liberation Sans" w:eastAsia="Liberation Sans"/>
          <w:b w:val="0"/>
          <w:color w:val="1F2937"/>
          <w:sz w:val="21"/>
        </w:rPr>
        <w:t>Google Drive repository structure;</w:t>
      </w:r>
    </w:p>
    <w:p>
      <w:pPr>
        <w:pStyle w:val="ListBullet"/>
        <w:spacing w:after="60" w:line="259" w:lineRule="auto"/>
        <w:jc w:val="left"/>
      </w:pPr>
      <w:r>
        <w:rPr>
          <w:rFonts w:ascii="Liberation Sans" w:hAnsi="Liberation Sans" w:cs="Liberation Sans" w:eastAsia="Liberation Sans"/>
          <w:b w:val="0"/>
          <w:color w:val="1F2937"/>
          <w:sz w:val="21"/>
        </w:rPr>
        <w:t>institutional quality controls;</w:t>
      </w:r>
    </w:p>
    <w:p>
      <w:pPr>
        <w:pStyle w:val="ListBullet"/>
        <w:spacing w:after="60" w:line="259" w:lineRule="auto"/>
        <w:jc w:val="left"/>
      </w:pPr>
      <w:r>
        <w:rPr>
          <w:rFonts w:ascii="Liberation Sans" w:hAnsi="Liberation Sans" w:cs="Liberation Sans" w:eastAsia="Liberation Sans"/>
          <w:b w:val="0"/>
          <w:color w:val="1F2937"/>
          <w:sz w:val="21"/>
        </w:rPr>
        <w:t>common dashboards and reporting logic;</w:t>
      </w:r>
    </w:p>
    <w:p>
      <w:pPr>
        <w:pStyle w:val="ListBullet"/>
        <w:spacing w:after="60" w:line="259" w:lineRule="auto"/>
        <w:jc w:val="left"/>
      </w:pPr>
      <w:r>
        <w:rPr>
          <w:rFonts w:ascii="Liberation Sans" w:hAnsi="Liberation Sans" w:cs="Liberation Sans" w:eastAsia="Liberation Sans"/>
          <w:b w:val="0"/>
          <w:color w:val="1F2937"/>
          <w:sz w:val="21"/>
        </w:rPr>
        <w:t>common partnership and expert infrastructure.</w:t>
      </w:r>
    </w:p>
    <w:p>
      <w:pPr>
        <w:pStyle w:val="Heading2"/>
        <w:jc w:val="left"/>
      </w:pPr>
      <w:r>
        <w:rPr>
          <w:rFonts w:ascii="Liberation Sans" w:hAnsi="Liberation Sans" w:cs="Liberation Sans" w:eastAsia="Liberation Sans"/>
          <w:b/>
          <w:color w:val="174F78"/>
          <w:sz w:val="25"/>
        </w:rPr>
        <w:t>GARC Owns Scientifically</w:t>
      </w:r>
    </w:p>
    <w:p>
      <w:pPr>
        <w:spacing w:after="120" w:line="276" w:lineRule="auto"/>
        <w:jc w:val="left"/>
      </w:pPr>
      <w:r>
        <w:rPr>
          <w:rFonts w:ascii="Liberation Sans" w:hAnsi="Liberation Sans" w:cs="Liberation Sans" w:eastAsia="Liberation Sans"/>
          <w:b w:val="0"/>
          <w:color w:val="1F2937"/>
          <w:sz w:val="22"/>
        </w:rPr>
        <w:t>GARC should maintain autism-specific authority over:</w:t>
      </w:r>
    </w:p>
    <w:p>
      <w:pPr>
        <w:pStyle w:val="ListBullet"/>
        <w:spacing w:after="60" w:line="259" w:lineRule="auto"/>
        <w:jc w:val="left"/>
      </w:pPr>
      <w:r>
        <w:rPr>
          <w:rFonts w:ascii="Liberation Sans" w:hAnsi="Liberation Sans" w:cs="Liberation Sans" w:eastAsia="Liberation Sans"/>
          <w:b w:val="0"/>
          <w:color w:val="1F2937"/>
          <w:sz w:val="21"/>
        </w:rPr>
        <w:t>autism research priorities;</w:t>
      </w:r>
    </w:p>
    <w:p>
      <w:pPr>
        <w:pStyle w:val="ListBullet"/>
        <w:spacing w:after="60" w:line="259" w:lineRule="auto"/>
        <w:jc w:val="left"/>
      </w:pPr>
      <w:r>
        <w:rPr>
          <w:rFonts w:ascii="Liberation Sans" w:hAnsi="Liberation Sans" w:cs="Liberation Sans" w:eastAsia="Liberation Sans"/>
          <w:b w:val="0"/>
          <w:color w:val="1F2937"/>
          <w:sz w:val="21"/>
        </w:rPr>
        <w:t>autism taxonomy;</w:t>
      </w:r>
    </w:p>
    <w:p>
      <w:pPr>
        <w:pStyle w:val="ListBullet"/>
        <w:spacing w:after="60" w:line="259" w:lineRule="auto"/>
        <w:jc w:val="left"/>
      </w:pPr>
      <w:r>
        <w:rPr>
          <w:rFonts w:ascii="Liberation Sans" w:hAnsi="Liberation Sans" w:cs="Liberation Sans" w:eastAsia="Liberation Sans"/>
          <w:b w:val="0"/>
          <w:color w:val="1F2937"/>
          <w:sz w:val="21"/>
        </w:rPr>
        <w:t>autism-specific research questions;</w:t>
      </w:r>
    </w:p>
    <w:p>
      <w:pPr>
        <w:pStyle w:val="ListBullet"/>
        <w:spacing w:after="60" w:line="259" w:lineRule="auto"/>
        <w:jc w:val="left"/>
      </w:pPr>
      <w:r>
        <w:rPr>
          <w:rFonts w:ascii="Liberation Sans" w:hAnsi="Liberation Sans" w:cs="Liberation Sans" w:eastAsia="Liberation Sans"/>
          <w:b w:val="0"/>
          <w:color w:val="1F2937"/>
          <w:sz w:val="21"/>
        </w:rPr>
        <w:t>specialist scientific review;</w:t>
      </w:r>
    </w:p>
    <w:p>
      <w:pPr>
        <w:pStyle w:val="ListBullet"/>
        <w:spacing w:after="60" w:line="259" w:lineRule="auto"/>
        <w:jc w:val="left"/>
      </w:pPr>
      <w:r>
        <w:rPr>
          <w:rFonts w:ascii="Liberation Sans" w:hAnsi="Liberation Sans" w:cs="Liberation Sans" w:eastAsia="Liberation Sans"/>
          <w:b w:val="0"/>
          <w:color w:val="1F2937"/>
          <w:sz w:val="21"/>
        </w:rPr>
        <w:t>autism evidence interpretation;</w:t>
      </w:r>
    </w:p>
    <w:p>
      <w:pPr>
        <w:pStyle w:val="ListBullet"/>
        <w:spacing w:after="60" w:line="259" w:lineRule="auto"/>
        <w:jc w:val="left"/>
      </w:pPr>
      <w:r>
        <w:rPr>
          <w:rFonts w:ascii="Liberation Sans" w:hAnsi="Liberation Sans" w:cs="Liberation Sans" w:eastAsia="Liberation Sans"/>
          <w:b w:val="0"/>
          <w:color w:val="1F2937"/>
          <w:sz w:val="21"/>
        </w:rPr>
        <w:t>autism-specific data definitions;</w:t>
      </w:r>
    </w:p>
    <w:p>
      <w:pPr>
        <w:pStyle w:val="ListBullet"/>
        <w:spacing w:after="60" w:line="259" w:lineRule="auto"/>
        <w:jc w:val="left"/>
      </w:pPr>
      <w:r>
        <w:rPr>
          <w:rFonts w:ascii="Liberation Sans" w:hAnsi="Liberation Sans" w:cs="Liberation Sans" w:eastAsia="Liberation Sans"/>
          <w:b w:val="0"/>
          <w:color w:val="1F2937"/>
          <w:sz w:val="21"/>
        </w:rPr>
        <w:t>culturally relevant autism research design;</w:t>
      </w:r>
    </w:p>
    <w:p>
      <w:pPr>
        <w:pStyle w:val="ListBullet"/>
        <w:spacing w:after="60" w:line="259" w:lineRule="auto"/>
        <w:jc w:val="left"/>
      </w:pPr>
      <w:r>
        <w:rPr>
          <w:rFonts w:ascii="Liberation Sans" w:hAnsi="Liberation Sans" w:cs="Liberation Sans" w:eastAsia="Liberation Sans"/>
          <w:b w:val="0"/>
          <w:color w:val="1F2937"/>
          <w:sz w:val="21"/>
        </w:rPr>
        <w:t>autism lived-experience engagement;</w:t>
      </w:r>
    </w:p>
    <w:p>
      <w:pPr>
        <w:pStyle w:val="ListBullet"/>
        <w:spacing w:after="60" w:line="259" w:lineRule="auto"/>
        <w:jc w:val="left"/>
      </w:pPr>
      <w:r>
        <w:rPr>
          <w:rFonts w:ascii="Liberation Sans" w:hAnsi="Liberation Sans" w:cs="Liberation Sans" w:eastAsia="Liberation Sans"/>
          <w:b w:val="0"/>
          <w:color w:val="1F2937"/>
          <w:sz w:val="21"/>
        </w:rPr>
        <w:t>autism-specific research networks;</w:t>
      </w:r>
    </w:p>
    <w:p>
      <w:pPr>
        <w:pStyle w:val="ListBullet"/>
        <w:spacing w:after="60" w:line="259" w:lineRule="auto"/>
        <w:jc w:val="left"/>
      </w:pPr>
      <w:r>
        <w:rPr>
          <w:rFonts w:ascii="Liberation Sans" w:hAnsi="Liberation Sans" w:cs="Liberation Sans" w:eastAsia="Liberation Sans"/>
          <w:b w:val="0"/>
          <w:color w:val="1F2937"/>
          <w:sz w:val="21"/>
        </w:rPr>
        <w:t>subject-matter assessment of autism publications;</w:t>
      </w:r>
    </w:p>
    <w:p>
      <w:pPr>
        <w:pStyle w:val="ListBullet"/>
        <w:spacing w:after="60" w:line="259" w:lineRule="auto"/>
        <w:jc w:val="left"/>
      </w:pPr>
      <w:r>
        <w:rPr>
          <w:rFonts w:ascii="Liberation Sans" w:hAnsi="Liberation Sans" w:cs="Liberation Sans" w:eastAsia="Liberation Sans"/>
          <w:b w:val="0"/>
          <w:color w:val="1F2937"/>
          <w:sz w:val="21"/>
        </w:rPr>
        <w:t>autism-specific indicators, frameworks and tools.</w:t>
      </w:r>
    </w:p>
    <w:p>
      <w:pPr>
        <w:pStyle w:val="Heading2"/>
        <w:jc w:val="left"/>
      </w:pPr>
      <w:r>
        <w:rPr>
          <w:rFonts w:ascii="Liberation Sans" w:hAnsi="Liberation Sans" w:cs="Liberation Sans" w:eastAsia="Liberation Sans"/>
          <w:b/>
          <w:color w:val="174F78"/>
          <w:sz w:val="25"/>
        </w:rPr>
        <w:t>Joint Responsibility</w:t>
      </w:r>
    </w:p>
    <w:p>
      <w:pPr>
        <w:spacing w:after="120" w:line="276" w:lineRule="auto"/>
        <w:jc w:val="left"/>
      </w:pPr>
      <w:r>
        <w:rPr>
          <w:rFonts w:ascii="Liberation Sans" w:hAnsi="Liberation Sans" w:cs="Liberation Sans" w:eastAsia="Liberation Sans"/>
          <w:b w:val="0"/>
          <w:color w:val="1F2937"/>
          <w:sz w:val="22"/>
        </w:rPr>
        <w:t>GRS and GARC work together on research portfolio approval; major institutional partnerships; sensitive public claims; multi-centre projects; publication quality; research-risk escalation; impact measurement; and strategic resource allocation.</w:t>
      </w:r>
    </w:p>
    <w:p>
      <w:pPr>
        <w:spacing w:after="120" w:line="276" w:lineRule="auto"/>
        <w:jc w:val="left"/>
      </w:pPr>
      <w:r>
        <w:rPr>
          <w:rFonts w:ascii="Liberation Sans" w:hAnsi="Liberation Sans" w:cs="Liberation Sans" w:eastAsia="Liberation Sans"/>
          <w:b w:val="0"/>
          <w:color w:val="1F2937"/>
          <w:sz w:val="22"/>
        </w:rPr>
        <w:t>This ownership model will become a core design principle of the future GRS Center Operating Model v1.0.</w:t>
      </w:r>
    </w:p>
    <w:p>
      <w:pPr>
        <w:pStyle w:val="Heading1"/>
        <w:jc w:val="left"/>
        <w:pBdr>
          <w:bottom w:val="single" w:sz="10" w:space="4" w:color="C5A35B"/>
        </w:pBdr>
      </w:pPr>
      <w:r>
        <w:rPr>
          <w:rFonts w:ascii="Liberation Sans" w:hAnsi="Liberation Sans" w:cs="Liberation Sans" w:eastAsia="Liberation Sans"/>
          <w:b/>
          <w:color w:val="0B2D4D"/>
          <w:sz w:val="34"/>
        </w:rPr>
        <w:t>21. Research Infrastructure Supporting the Agenda</w:t>
      </w:r>
    </w:p>
    <w:p>
      <w:pPr>
        <w:spacing w:after="120" w:line="276" w:lineRule="auto"/>
        <w:jc w:val="left"/>
      </w:pPr>
      <w:r>
        <w:rPr>
          <w:rFonts w:ascii="Liberation Sans" w:hAnsi="Liberation Sans" w:cs="Liberation Sans" w:eastAsia="Liberation Sans"/>
          <w:b w:val="0"/>
          <w:color w:val="1F2937"/>
          <w:sz w:val="22"/>
        </w:rPr>
        <w:t>The Agenda will operate through the approved GRS institutional infrastructure.</w:t>
      </w:r>
    </w:p>
    <w:p>
      <w:pPr>
        <w:pStyle w:val="ListBullet"/>
        <w:spacing w:after="60" w:line="259" w:lineRule="auto"/>
        <w:jc w:val="left"/>
      </w:pPr>
      <w:r>
        <w:rPr>
          <w:rFonts w:ascii="Liberation Sans" w:hAnsi="Liberation Sans" w:cs="Liberation Sans" w:eastAsia="Liberation Sans"/>
          <w:b w:val="0"/>
          <w:color w:val="1F2937"/>
          <w:sz w:val="21"/>
        </w:rPr>
        <w:t>Google Drive — Canonical research files and document repository.</w:t>
      </w:r>
    </w:p>
    <w:p>
      <w:pPr>
        <w:pStyle w:val="ListBullet"/>
        <w:spacing w:after="60" w:line="259" w:lineRule="auto"/>
        <w:jc w:val="left"/>
      </w:pPr>
      <w:r>
        <w:rPr>
          <w:rFonts w:ascii="Liberation Sans" w:hAnsi="Liberation Sans" w:cs="Liberation Sans" w:eastAsia="Liberation Sans"/>
          <w:b w:val="0"/>
          <w:color w:val="1F2937"/>
          <w:sz w:val="21"/>
        </w:rPr>
        <w:t>ClickUp — Research intake, project pipeline, review stages, tasks and dashboards.</w:t>
      </w:r>
    </w:p>
    <w:p>
      <w:pPr>
        <w:pStyle w:val="ListBullet"/>
        <w:spacing w:after="60" w:line="259" w:lineRule="auto"/>
        <w:jc w:val="left"/>
      </w:pPr>
      <w:r>
        <w:rPr>
          <w:rFonts w:ascii="Liberation Sans" w:hAnsi="Liberation Sans" w:cs="Liberation Sans" w:eastAsia="Liberation Sans"/>
          <w:b w:val="0"/>
          <w:color w:val="1F2937"/>
          <w:sz w:val="21"/>
        </w:rPr>
        <w:t>Zotero — Master Research Library, with dedicated GARC collections and taxonomy.</w:t>
      </w:r>
    </w:p>
    <w:p>
      <w:pPr>
        <w:pStyle w:val="ListBullet"/>
        <w:spacing w:after="60" w:line="259" w:lineRule="auto"/>
        <w:jc w:val="left"/>
      </w:pPr>
      <w:r>
        <w:rPr>
          <w:rFonts w:ascii="Liberation Sans" w:hAnsi="Liberation Sans" w:cs="Liberation Sans" w:eastAsia="Liberation Sans"/>
          <w:b w:val="0"/>
          <w:color w:val="1F2937"/>
          <w:sz w:val="21"/>
        </w:rPr>
        <w:t>Zenodo — Public research repository and dissemination pathway where appropriate.</w:t>
      </w:r>
    </w:p>
    <w:p>
      <w:pPr>
        <w:pStyle w:val="ListBullet"/>
        <w:spacing w:after="60" w:line="259" w:lineRule="auto"/>
        <w:jc w:val="left"/>
      </w:pPr>
      <w:r>
        <w:rPr>
          <w:rFonts w:ascii="Liberation Sans" w:hAnsi="Liberation Sans" w:cs="Liberation Sans" w:eastAsia="Liberation Sans"/>
          <w:b w:val="0"/>
          <w:color w:val="1F2937"/>
          <w:sz w:val="21"/>
        </w:rPr>
        <w:t>Circle / GRS Research Network — Expert interaction, research community, working groups and knowledge exchange.</w:t>
      </w:r>
    </w:p>
    <w:p>
      <w:pPr>
        <w:pStyle w:val="ListBullet"/>
        <w:spacing w:after="60" w:line="259" w:lineRule="auto"/>
        <w:jc w:val="left"/>
      </w:pPr>
      <w:r>
        <w:rPr>
          <w:rFonts w:ascii="Liberation Sans" w:hAnsi="Liberation Sans" w:cs="Liberation Sans" w:eastAsia="Liberation Sans"/>
          <w:b w:val="0"/>
          <w:color w:val="1F2937"/>
          <w:sz w:val="21"/>
        </w:rPr>
        <w:t>Zoho — Institutional communication, expert and partner relationship management.</w:t>
      </w:r>
    </w:p>
    <w:p>
      <w:pPr>
        <w:pStyle w:val="ListBullet"/>
        <w:spacing w:after="60" w:line="259" w:lineRule="auto"/>
        <w:jc w:val="left"/>
      </w:pPr>
      <w:r>
        <w:rPr>
          <w:rFonts w:ascii="Liberation Sans" w:hAnsi="Liberation Sans" w:cs="Liberation Sans" w:eastAsia="Liberation Sans"/>
          <w:b w:val="0"/>
          <w:color w:val="1F2937"/>
          <w:sz w:val="21"/>
        </w:rPr>
        <w:t>Canva — Controlled design production for public research outputs.</w:t>
      </w:r>
    </w:p>
    <w:p>
      <w:pPr>
        <w:pStyle w:val="ListBullet"/>
        <w:spacing w:after="60" w:line="259" w:lineRule="auto"/>
        <w:jc w:val="left"/>
      </w:pPr>
      <w:r>
        <w:rPr>
          <w:rFonts w:ascii="Liberation Sans" w:hAnsi="Liberation Sans" w:cs="Liberation Sans" w:eastAsia="Liberation Sans"/>
          <w:b w:val="0"/>
          <w:color w:val="1F2937"/>
          <w:sz w:val="21"/>
        </w:rPr>
        <w:t>Onlypult — Dissemination scheduling for approved public research content.</w:t>
      </w:r>
    </w:p>
    <w:p>
      <w:pPr>
        <w:pStyle w:val="ListBullet"/>
        <w:spacing w:after="60" w:line="259" w:lineRule="auto"/>
        <w:jc w:val="left"/>
      </w:pPr>
      <w:r>
        <w:rPr>
          <w:rFonts w:ascii="Liberation Sans" w:hAnsi="Liberation Sans" w:cs="Liberation Sans" w:eastAsia="Liberation Sans"/>
          <w:b w:val="0"/>
          <w:color w:val="1F2937"/>
          <w:sz w:val="21"/>
        </w:rPr>
        <w:t>1Password — Controlled institutional access and account resilience.</w:t>
      </w:r>
    </w:p>
    <w:p>
      <w:pPr>
        <w:spacing w:after="120" w:line="276" w:lineRule="auto"/>
        <w:jc w:val="left"/>
      </w:pPr>
      <w:r>
        <w:rPr>
          <w:rFonts w:ascii="Liberation Sans" w:hAnsi="Liberation Sans" w:cs="Liberation Sans" w:eastAsia="Liberation Sans"/>
          <w:b w:val="0"/>
          <w:color w:val="1F2937"/>
          <w:sz w:val="22"/>
        </w:rPr>
        <w:t>No separate GARC platform should duplicate these functions unless scientific or regulatory needs genuinely require it.</w:t>
      </w:r>
    </w:p>
    <w:p>
      <w:pPr>
        <w:pStyle w:val="Heading1"/>
        <w:jc w:val="left"/>
        <w:pBdr>
          <w:bottom w:val="single" w:sz="10" w:space="4" w:color="C5A35B"/>
        </w:pBdr>
      </w:pPr>
      <w:r>
        <w:rPr>
          <w:rFonts w:ascii="Liberation Sans" w:hAnsi="Liberation Sans" w:cs="Liberation Sans" w:eastAsia="Liberation Sans"/>
          <w:b/>
          <w:color w:val="0B2D4D"/>
          <w:sz w:val="34"/>
        </w:rPr>
        <w:t>22. Publication and Dissemination</w:t>
      </w:r>
    </w:p>
    <w:p>
      <w:pPr>
        <w:spacing w:after="120" w:line="276" w:lineRule="auto"/>
        <w:jc w:val="left"/>
      </w:pPr>
      <w:r>
        <w:rPr>
          <w:rFonts w:ascii="Liberation Sans" w:hAnsi="Liberation Sans" w:cs="Liberation Sans" w:eastAsia="Liberation Sans"/>
          <w:b w:val="0"/>
          <w:color w:val="1F2937"/>
          <w:sz w:val="22"/>
        </w:rPr>
        <w:t>Research may be translated through a range of outputs including:</w:t>
      </w:r>
    </w:p>
    <w:p>
      <w:pPr>
        <w:pStyle w:val="ListBullet"/>
        <w:spacing w:after="60" w:line="259" w:lineRule="auto"/>
        <w:jc w:val="left"/>
      </w:pPr>
      <w:r>
        <w:rPr>
          <w:rFonts w:ascii="Liberation Sans" w:hAnsi="Liberation Sans" w:cs="Liberation Sans" w:eastAsia="Liberation Sans"/>
          <w:b w:val="0"/>
          <w:color w:val="1F2937"/>
          <w:sz w:val="21"/>
        </w:rPr>
        <w:t>research reports;</w:t>
      </w:r>
    </w:p>
    <w:p>
      <w:pPr>
        <w:pStyle w:val="ListBullet"/>
        <w:spacing w:after="60" w:line="259" w:lineRule="auto"/>
        <w:jc w:val="left"/>
      </w:pPr>
      <w:r>
        <w:rPr>
          <w:rFonts w:ascii="Liberation Sans" w:hAnsi="Liberation Sans" w:cs="Liberation Sans" w:eastAsia="Liberation Sans"/>
          <w:b w:val="0"/>
          <w:color w:val="1F2937"/>
          <w:sz w:val="21"/>
        </w:rPr>
        <w:t>systematic and rapid reviews;</w:t>
      </w:r>
    </w:p>
    <w:p>
      <w:pPr>
        <w:pStyle w:val="ListBullet"/>
        <w:spacing w:after="60" w:line="259" w:lineRule="auto"/>
        <w:jc w:val="left"/>
      </w:pPr>
      <w:r>
        <w:rPr>
          <w:rFonts w:ascii="Liberation Sans" w:hAnsi="Liberation Sans" w:cs="Liberation Sans" w:eastAsia="Liberation Sans"/>
          <w:b w:val="0"/>
          <w:color w:val="1F2937"/>
          <w:sz w:val="21"/>
        </w:rPr>
        <w:t>evidence briefs;</w:t>
      </w:r>
    </w:p>
    <w:p>
      <w:pPr>
        <w:pStyle w:val="ListBullet"/>
        <w:spacing w:after="60" w:line="259" w:lineRule="auto"/>
        <w:jc w:val="left"/>
      </w:pPr>
      <w:r>
        <w:rPr>
          <w:rFonts w:ascii="Liberation Sans" w:hAnsi="Liberation Sans" w:cs="Liberation Sans" w:eastAsia="Liberation Sans"/>
          <w:b w:val="0"/>
          <w:color w:val="1F2937"/>
          <w:sz w:val="21"/>
        </w:rPr>
        <w:t>policy briefs;</w:t>
      </w:r>
    </w:p>
    <w:p>
      <w:pPr>
        <w:pStyle w:val="ListBullet"/>
        <w:spacing w:after="60" w:line="259" w:lineRule="auto"/>
        <w:jc w:val="left"/>
      </w:pPr>
      <w:r>
        <w:rPr>
          <w:rFonts w:ascii="Liberation Sans" w:hAnsi="Liberation Sans" w:cs="Liberation Sans" w:eastAsia="Liberation Sans"/>
          <w:b w:val="0"/>
          <w:color w:val="1F2937"/>
          <w:sz w:val="21"/>
        </w:rPr>
        <w:t>working papers;</w:t>
      </w:r>
    </w:p>
    <w:p>
      <w:pPr>
        <w:pStyle w:val="ListBullet"/>
        <w:spacing w:after="60" w:line="259" w:lineRule="auto"/>
        <w:jc w:val="left"/>
      </w:pPr>
      <w:r>
        <w:rPr>
          <w:rFonts w:ascii="Liberation Sans" w:hAnsi="Liberation Sans" w:cs="Liberation Sans" w:eastAsia="Liberation Sans"/>
          <w:b w:val="0"/>
          <w:color w:val="1F2937"/>
          <w:sz w:val="21"/>
        </w:rPr>
        <w:t>white papers;</w:t>
      </w:r>
    </w:p>
    <w:p>
      <w:pPr>
        <w:pStyle w:val="ListBullet"/>
        <w:spacing w:after="60" w:line="259" w:lineRule="auto"/>
        <w:jc w:val="left"/>
      </w:pPr>
      <w:r>
        <w:rPr>
          <w:rFonts w:ascii="Liberation Sans" w:hAnsi="Liberation Sans" w:cs="Liberation Sans" w:eastAsia="Liberation Sans"/>
          <w:b w:val="0"/>
          <w:color w:val="1F2937"/>
          <w:sz w:val="21"/>
        </w:rPr>
        <w:t>data and indicator reports;</w:t>
      </w:r>
    </w:p>
    <w:p>
      <w:pPr>
        <w:pStyle w:val="ListBullet"/>
        <w:spacing w:after="60" w:line="259" w:lineRule="auto"/>
        <w:jc w:val="left"/>
      </w:pPr>
      <w:r>
        <w:rPr>
          <w:rFonts w:ascii="Liberation Sans" w:hAnsi="Liberation Sans" w:cs="Liberation Sans" w:eastAsia="Liberation Sans"/>
          <w:b w:val="0"/>
          <w:color w:val="1F2937"/>
          <w:sz w:val="21"/>
        </w:rPr>
        <w:t>comparative studies;</w:t>
      </w:r>
    </w:p>
    <w:p>
      <w:pPr>
        <w:pStyle w:val="ListBullet"/>
        <w:spacing w:after="60" w:line="259" w:lineRule="auto"/>
        <w:jc w:val="left"/>
      </w:pPr>
      <w:r>
        <w:rPr>
          <w:rFonts w:ascii="Liberation Sans" w:hAnsi="Liberation Sans" w:cs="Liberation Sans" w:eastAsia="Liberation Sans"/>
          <w:b w:val="0"/>
          <w:color w:val="1F2937"/>
          <w:sz w:val="21"/>
        </w:rPr>
        <w:t>foresight notes;</w:t>
      </w:r>
    </w:p>
    <w:p>
      <w:pPr>
        <w:pStyle w:val="ListBullet"/>
        <w:spacing w:after="60" w:line="259" w:lineRule="auto"/>
        <w:jc w:val="left"/>
      </w:pPr>
      <w:r>
        <w:rPr>
          <w:rFonts w:ascii="Liberation Sans" w:hAnsi="Liberation Sans" w:cs="Liberation Sans" w:eastAsia="Liberation Sans"/>
          <w:b w:val="0"/>
          <w:color w:val="1F2937"/>
          <w:sz w:val="21"/>
        </w:rPr>
        <w:t>institutional guidance;</w:t>
      </w:r>
    </w:p>
    <w:p>
      <w:pPr>
        <w:pStyle w:val="ListBullet"/>
        <w:spacing w:after="60" w:line="259" w:lineRule="auto"/>
        <w:jc w:val="left"/>
      </w:pPr>
      <w:r>
        <w:rPr>
          <w:rFonts w:ascii="Liberation Sans" w:hAnsi="Liberation Sans" w:cs="Liberation Sans" w:eastAsia="Liberation Sans"/>
          <w:b w:val="0"/>
          <w:color w:val="1F2937"/>
          <w:sz w:val="21"/>
        </w:rPr>
        <w:t>peer-reviewed manuscripts;</w:t>
      </w:r>
    </w:p>
    <w:p>
      <w:pPr>
        <w:pStyle w:val="ListBullet"/>
        <w:spacing w:after="60" w:line="259" w:lineRule="auto"/>
        <w:jc w:val="left"/>
      </w:pPr>
      <w:r>
        <w:rPr>
          <w:rFonts w:ascii="Liberation Sans" w:hAnsi="Liberation Sans" w:cs="Liberation Sans" w:eastAsia="Liberation Sans"/>
          <w:b w:val="0"/>
          <w:color w:val="1F2937"/>
          <w:sz w:val="21"/>
        </w:rPr>
        <w:t>repository publications;</w:t>
      </w:r>
    </w:p>
    <w:p>
      <w:pPr>
        <w:pStyle w:val="ListBullet"/>
        <w:spacing w:after="60" w:line="259" w:lineRule="auto"/>
        <w:jc w:val="left"/>
      </w:pPr>
      <w:r>
        <w:rPr>
          <w:rFonts w:ascii="Liberation Sans" w:hAnsi="Liberation Sans" w:cs="Liberation Sans" w:eastAsia="Liberation Sans"/>
          <w:b w:val="0"/>
          <w:color w:val="1F2937"/>
          <w:sz w:val="21"/>
        </w:rPr>
        <w:t>executive summaries;</w:t>
      </w:r>
    </w:p>
    <w:p>
      <w:pPr>
        <w:pStyle w:val="ListBullet"/>
        <w:spacing w:after="60" w:line="259" w:lineRule="auto"/>
        <w:jc w:val="left"/>
      </w:pPr>
      <w:r>
        <w:rPr>
          <w:rFonts w:ascii="Liberation Sans" w:hAnsi="Liberation Sans" w:cs="Liberation Sans" w:eastAsia="Liberation Sans"/>
          <w:b w:val="0"/>
          <w:color w:val="1F2937"/>
          <w:sz w:val="21"/>
        </w:rPr>
        <w:t>accessible public summaries;</w:t>
      </w:r>
    </w:p>
    <w:p>
      <w:pPr>
        <w:pStyle w:val="ListBullet"/>
        <w:spacing w:after="60" w:line="259" w:lineRule="auto"/>
        <w:jc w:val="left"/>
      </w:pPr>
      <w:r>
        <w:rPr>
          <w:rFonts w:ascii="Liberation Sans" w:hAnsi="Liberation Sans" w:cs="Liberation Sans" w:eastAsia="Liberation Sans"/>
          <w:b w:val="0"/>
          <w:color w:val="1F2937"/>
          <w:sz w:val="21"/>
        </w:rPr>
        <w:t>webinars and expert roundtables.</w:t>
      </w:r>
    </w:p>
    <w:p>
      <w:pPr>
        <w:spacing w:after="120" w:line="276" w:lineRule="auto"/>
        <w:jc w:val="left"/>
      </w:pPr>
      <w:r>
        <w:rPr>
          <w:rFonts w:ascii="Liberation Sans" w:hAnsi="Liberation Sans" w:cs="Liberation Sans" w:eastAsia="Liberation Sans"/>
          <w:b w:val="0"/>
          <w:color w:val="1F2937"/>
          <w:sz w:val="22"/>
        </w:rPr>
        <w:t>Publication route and level of review will depend on the nature of the work. Repository publication, DOI assignment or GARC publication does not, by itself, imply external peer review or journal publication.</w:t>
      </w:r>
    </w:p>
    <w:p>
      <w:pPr>
        <w:pStyle w:val="Heading1"/>
        <w:jc w:val="left"/>
        <w:pBdr>
          <w:bottom w:val="single" w:sz="10" w:space="4" w:color="C5A35B"/>
        </w:pBdr>
      </w:pPr>
      <w:r>
        <w:rPr>
          <w:rFonts w:ascii="Liberation Sans" w:hAnsi="Liberation Sans" w:cs="Liberation Sans" w:eastAsia="Liberation Sans"/>
          <w:b/>
          <w:color w:val="0B2D4D"/>
          <w:sz w:val="34"/>
        </w:rPr>
        <w:t>23. Research Quality Framework</w:t>
      </w:r>
    </w:p>
    <w:p>
      <w:pPr>
        <w:spacing w:after="120" w:line="276" w:lineRule="auto"/>
        <w:jc w:val="left"/>
      </w:pPr>
      <w:r>
        <w:rPr>
          <w:rFonts w:ascii="Liberation Sans" w:hAnsi="Liberation Sans" w:cs="Liberation Sans" w:eastAsia="Liberation Sans"/>
          <w:b w:val="0"/>
          <w:color w:val="1F2937"/>
          <w:sz w:val="22"/>
        </w:rPr>
        <w:t>Each research project should document, as applicable:</w:t>
      </w:r>
    </w:p>
    <w:p>
      <w:pPr>
        <w:pStyle w:val="ListNumber"/>
        <w:spacing w:after="60" w:line="259" w:lineRule="auto"/>
        <w:jc w:val="left"/>
      </w:pPr>
      <w:r>
        <w:rPr>
          <w:rFonts w:ascii="Liberation Sans" w:hAnsi="Liberation Sans" w:cs="Liberation Sans" w:eastAsia="Liberation Sans"/>
          <w:b w:val="0"/>
          <w:color w:val="1F2937"/>
          <w:sz w:val="21"/>
        </w:rPr>
        <w:t>defined research question;</w:t>
      </w:r>
    </w:p>
    <w:p>
      <w:pPr>
        <w:pStyle w:val="ListNumber"/>
        <w:spacing w:after="60" w:line="259" w:lineRule="auto"/>
        <w:jc w:val="left"/>
      </w:pPr>
      <w:r>
        <w:rPr>
          <w:rFonts w:ascii="Liberation Sans" w:hAnsi="Liberation Sans" w:cs="Liberation Sans" w:eastAsia="Liberation Sans"/>
          <w:b w:val="0"/>
          <w:color w:val="1F2937"/>
          <w:sz w:val="21"/>
        </w:rPr>
        <w:t>rationale and evidence gap;</w:t>
      </w:r>
    </w:p>
    <w:p>
      <w:pPr>
        <w:pStyle w:val="ListNumber"/>
        <w:spacing w:after="60" w:line="259" w:lineRule="auto"/>
        <w:jc w:val="left"/>
      </w:pPr>
      <w:r>
        <w:rPr>
          <w:rFonts w:ascii="Liberation Sans" w:hAnsi="Liberation Sans" w:cs="Liberation Sans" w:eastAsia="Liberation Sans"/>
          <w:b w:val="0"/>
          <w:color w:val="1F2937"/>
          <w:sz w:val="21"/>
        </w:rPr>
        <w:t>intended population or system;</w:t>
      </w:r>
    </w:p>
    <w:p>
      <w:pPr>
        <w:pStyle w:val="ListNumber"/>
        <w:spacing w:after="60" w:line="259" w:lineRule="auto"/>
        <w:jc w:val="left"/>
      </w:pPr>
      <w:r>
        <w:rPr>
          <w:rFonts w:ascii="Liberation Sans" w:hAnsi="Liberation Sans" w:cs="Liberation Sans" w:eastAsia="Liberation Sans"/>
          <w:b w:val="0"/>
          <w:color w:val="1F2937"/>
          <w:sz w:val="21"/>
        </w:rPr>
        <w:t>study or review methodology;</w:t>
      </w:r>
    </w:p>
    <w:p>
      <w:pPr>
        <w:pStyle w:val="ListNumber"/>
        <w:spacing w:after="60" w:line="259" w:lineRule="auto"/>
        <w:jc w:val="left"/>
      </w:pPr>
      <w:r>
        <w:rPr>
          <w:rFonts w:ascii="Liberation Sans" w:hAnsi="Liberation Sans" w:cs="Liberation Sans" w:eastAsia="Liberation Sans"/>
          <w:b w:val="0"/>
          <w:color w:val="1F2937"/>
          <w:sz w:val="21"/>
        </w:rPr>
        <w:t>data source;</w:t>
      </w:r>
    </w:p>
    <w:p>
      <w:pPr>
        <w:pStyle w:val="ListNumber"/>
        <w:spacing w:after="60" w:line="259" w:lineRule="auto"/>
        <w:jc w:val="left"/>
      </w:pPr>
      <w:r>
        <w:rPr>
          <w:rFonts w:ascii="Liberation Sans" w:hAnsi="Liberation Sans" w:cs="Liberation Sans" w:eastAsia="Liberation Sans"/>
          <w:b w:val="0"/>
          <w:color w:val="1F2937"/>
          <w:sz w:val="21"/>
        </w:rPr>
        <w:t>inclusion and exclusion criteria;</w:t>
      </w:r>
    </w:p>
    <w:p>
      <w:pPr>
        <w:pStyle w:val="ListNumber"/>
        <w:spacing w:after="60" w:line="259" w:lineRule="auto"/>
        <w:jc w:val="left"/>
      </w:pPr>
      <w:r>
        <w:rPr>
          <w:rFonts w:ascii="Liberation Sans" w:hAnsi="Liberation Sans" w:cs="Liberation Sans" w:eastAsia="Liberation Sans"/>
          <w:b w:val="0"/>
          <w:color w:val="1F2937"/>
          <w:sz w:val="21"/>
        </w:rPr>
        <w:t>ethics requirements;</w:t>
      </w:r>
    </w:p>
    <w:p>
      <w:pPr>
        <w:pStyle w:val="ListNumber"/>
        <w:spacing w:after="60" w:line="259" w:lineRule="auto"/>
        <w:jc w:val="left"/>
      </w:pPr>
      <w:r>
        <w:rPr>
          <w:rFonts w:ascii="Liberation Sans" w:hAnsi="Liberation Sans" w:cs="Liberation Sans" w:eastAsia="Liberation Sans"/>
          <w:b w:val="0"/>
          <w:color w:val="1F2937"/>
          <w:sz w:val="21"/>
        </w:rPr>
        <w:t>safeguarding considerations;</w:t>
      </w:r>
    </w:p>
    <w:p>
      <w:pPr>
        <w:pStyle w:val="ListNumber"/>
        <w:spacing w:after="60" w:line="259" w:lineRule="auto"/>
        <w:jc w:val="left"/>
      </w:pPr>
      <w:r>
        <w:rPr>
          <w:rFonts w:ascii="Liberation Sans" w:hAnsi="Liberation Sans" w:cs="Liberation Sans" w:eastAsia="Liberation Sans"/>
          <w:b w:val="0"/>
          <w:color w:val="1F2937"/>
          <w:sz w:val="21"/>
        </w:rPr>
        <w:t>data-governance requirements;</w:t>
      </w:r>
    </w:p>
    <w:p>
      <w:pPr>
        <w:pStyle w:val="ListNumber"/>
        <w:spacing w:after="60" w:line="259" w:lineRule="auto"/>
        <w:jc w:val="left"/>
      </w:pPr>
      <w:r>
        <w:rPr>
          <w:rFonts w:ascii="Liberation Sans" w:hAnsi="Liberation Sans" w:cs="Liberation Sans" w:eastAsia="Liberation Sans"/>
          <w:b w:val="0"/>
          <w:color w:val="1F2937"/>
          <w:sz w:val="21"/>
        </w:rPr>
        <w:t>analytical approach;</w:t>
      </w:r>
    </w:p>
    <w:p>
      <w:pPr>
        <w:pStyle w:val="ListNumber"/>
        <w:spacing w:after="60" w:line="259" w:lineRule="auto"/>
        <w:jc w:val="left"/>
      </w:pPr>
      <w:r>
        <w:rPr>
          <w:rFonts w:ascii="Liberation Sans" w:hAnsi="Liberation Sans" w:cs="Liberation Sans" w:eastAsia="Liberation Sans"/>
          <w:b w:val="0"/>
          <w:color w:val="1F2937"/>
          <w:sz w:val="21"/>
        </w:rPr>
        <w:t>scientific reviewer;</w:t>
      </w:r>
    </w:p>
    <w:p>
      <w:pPr>
        <w:pStyle w:val="ListNumber"/>
        <w:spacing w:after="60" w:line="259" w:lineRule="auto"/>
        <w:jc w:val="left"/>
      </w:pPr>
      <w:r>
        <w:rPr>
          <w:rFonts w:ascii="Liberation Sans" w:hAnsi="Liberation Sans" w:cs="Liberation Sans" w:eastAsia="Liberation Sans"/>
          <w:b w:val="0"/>
          <w:color w:val="1F2937"/>
          <w:sz w:val="21"/>
        </w:rPr>
        <w:t>conflicts of interest;</w:t>
      </w:r>
    </w:p>
    <w:p>
      <w:pPr>
        <w:pStyle w:val="ListNumber"/>
        <w:spacing w:after="60" w:line="259" w:lineRule="auto"/>
        <w:jc w:val="left"/>
      </w:pPr>
      <w:r>
        <w:rPr>
          <w:rFonts w:ascii="Liberation Sans" w:hAnsi="Liberation Sans" w:cs="Liberation Sans" w:eastAsia="Liberation Sans"/>
          <w:b w:val="0"/>
          <w:color w:val="1F2937"/>
          <w:sz w:val="21"/>
        </w:rPr>
        <w:t>limitations;</w:t>
      </w:r>
    </w:p>
    <w:p>
      <w:pPr>
        <w:pStyle w:val="ListNumber"/>
        <w:spacing w:after="60" w:line="259" w:lineRule="auto"/>
        <w:jc w:val="left"/>
      </w:pPr>
      <w:r>
        <w:rPr>
          <w:rFonts w:ascii="Liberation Sans" w:hAnsi="Liberation Sans" w:cs="Liberation Sans" w:eastAsia="Liberation Sans"/>
          <w:b w:val="0"/>
          <w:color w:val="1F2937"/>
          <w:sz w:val="21"/>
        </w:rPr>
        <w:t>dissemination pathway;</w:t>
      </w:r>
    </w:p>
    <w:p>
      <w:pPr>
        <w:pStyle w:val="ListNumber"/>
        <w:spacing w:after="60" w:line="259" w:lineRule="auto"/>
        <w:jc w:val="left"/>
      </w:pPr>
      <w:r>
        <w:rPr>
          <w:rFonts w:ascii="Liberation Sans" w:hAnsi="Liberation Sans" w:cs="Liberation Sans" w:eastAsia="Liberation Sans"/>
          <w:b w:val="0"/>
          <w:color w:val="1F2937"/>
          <w:sz w:val="21"/>
        </w:rPr>
        <w:t>implementation relevance;</w:t>
      </w:r>
    </w:p>
    <w:p>
      <w:pPr>
        <w:pStyle w:val="ListNumber"/>
        <w:spacing w:after="60" w:line="259" w:lineRule="auto"/>
        <w:jc w:val="left"/>
      </w:pPr>
      <w:r>
        <w:rPr>
          <w:rFonts w:ascii="Liberation Sans" w:hAnsi="Liberation Sans" w:cs="Liberation Sans" w:eastAsia="Liberation Sans"/>
          <w:b w:val="0"/>
          <w:color w:val="1F2937"/>
          <w:sz w:val="21"/>
        </w:rPr>
        <w:t>final project status.</w:t>
      </w:r>
    </w:p>
    <w:p>
      <w:pPr>
        <w:spacing w:after="120" w:line="276" w:lineRule="auto"/>
        <w:jc w:val="left"/>
      </w:pPr>
      <w:r>
        <w:rPr>
          <w:rFonts w:ascii="Liberation Sans" w:hAnsi="Liberation Sans" w:cs="Liberation Sans" w:eastAsia="Liberation Sans"/>
          <w:b w:val="0"/>
          <w:color w:val="1F2937"/>
          <w:sz w:val="22"/>
        </w:rPr>
        <w:t>The full operational workflow will be developed under the GARC Research &amp; Evidence System.</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24. 2027–2030 Strategic Phasing</w:t>
      </w:r>
    </w:p>
    <w:p>
      <w:pPr>
        <w:pStyle w:val="Heading2"/>
        <w:jc w:val="left"/>
      </w:pPr>
      <w:r>
        <w:rPr>
          <w:rFonts w:ascii="Liberation Sans" w:hAnsi="Liberation Sans" w:cs="Liberation Sans" w:eastAsia="Liberation Sans"/>
          <w:b/>
          <w:color w:val="174F78"/>
          <w:sz w:val="25"/>
        </w:rPr>
        <w:t>2027 — Foundation and Baseline</w:t>
      </w:r>
    </w:p>
    <w:p>
      <w:pPr>
        <w:spacing w:after="120" w:line="276" w:lineRule="auto"/>
        <w:jc w:val="left"/>
      </w:pPr>
      <w:r>
        <w:rPr>
          <w:rFonts w:ascii="Liberation Sans" w:hAnsi="Liberation Sans" w:cs="Liberation Sans" w:eastAsia="Liberation Sans"/>
          <w:b w:val="0"/>
          <w:color w:val="1F2937"/>
          <w:sz w:val="22"/>
        </w:rPr>
        <w:t>Primary emphasis: research infrastructure; evidence mapping; research question bank; autism research taxonomy; baseline evidence products; regional evidence gaps; research partnerships; first research and policy publications.</w:t>
      </w:r>
    </w:p>
    <w:p>
      <w:pPr>
        <w:pStyle w:val="Heading2"/>
        <w:jc w:val="left"/>
      </w:pPr>
      <w:r>
        <w:rPr>
          <w:rFonts w:ascii="Liberation Sans" w:hAnsi="Liberation Sans" w:cs="Liberation Sans" w:eastAsia="Liberation Sans"/>
          <w:b/>
          <w:color w:val="174F78"/>
          <w:sz w:val="25"/>
        </w:rPr>
        <w:t>2028 — Comparative Research and System Intelligence</w:t>
      </w:r>
    </w:p>
    <w:p>
      <w:pPr>
        <w:spacing w:after="120" w:line="276" w:lineRule="auto"/>
        <w:jc w:val="left"/>
      </w:pPr>
      <w:r>
        <w:rPr>
          <w:rFonts w:ascii="Liberation Sans" w:hAnsi="Liberation Sans" w:cs="Liberation Sans" w:eastAsia="Liberation Sans"/>
          <w:b w:val="0"/>
          <w:color w:val="1F2937"/>
          <w:sz w:val="22"/>
        </w:rPr>
        <w:t>Primary emphasis: comparative studies; service-system research; identification pathways; health and wellbeing; education and transitions; policy benchmarking. A formal mid-cycle review will assess priorities and emerging evidence.</w:t>
      </w:r>
    </w:p>
    <w:p>
      <w:pPr>
        <w:pStyle w:val="Heading2"/>
        <w:jc w:val="left"/>
      </w:pPr>
      <w:r>
        <w:rPr>
          <w:rFonts w:ascii="Liberation Sans" w:hAnsi="Liberation Sans" w:cs="Liberation Sans" w:eastAsia="Liberation Sans"/>
          <w:b/>
          <w:color w:val="174F78"/>
          <w:sz w:val="25"/>
        </w:rPr>
        <w:t>2029 — Multi-Centre Research and Applied Evaluation</w:t>
      </w:r>
    </w:p>
    <w:p>
      <w:pPr>
        <w:spacing w:after="120" w:line="276" w:lineRule="auto"/>
        <w:jc w:val="left"/>
      </w:pPr>
      <w:r>
        <w:rPr>
          <w:rFonts w:ascii="Liberation Sans" w:hAnsi="Liberation Sans" w:cs="Liberation Sans" w:eastAsia="Liberation Sans"/>
          <w:b w:val="0"/>
          <w:color w:val="1F2937"/>
          <w:sz w:val="22"/>
        </w:rPr>
        <w:t>Primary emphasis: multi-country collaboration; program and service evaluation; institutional quality research; data initiatives; applied digital and AI research.</w:t>
      </w:r>
    </w:p>
    <w:p>
      <w:pPr>
        <w:pStyle w:val="Heading2"/>
        <w:jc w:val="left"/>
      </w:pPr>
      <w:r>
        <w:rPr>
          <w:rFonts w:ascii="Liberation Sans" w:hAnsi="Liberation Sans" w:cs="Liberation Sans" w:eastAsia="Liberation Sans"/>
          <w:b/>
          <w:color w:val="174F78"/>
          <w:sz w:val="25"/>
        </w:rPr>
        <w:t>2030 — Synthesis, Impact and Renewal</w:t>
      </w:r>
    </w:p>
    <w:p>
      <w:pPr>
        <w:spacing w:after="120" w:line="276" w:lineRule="auto"/>
        <w:jc w:val="left"/>
      </w:pPr>
      <w:r>
        <w:rPr>
          <w:rFonts w:ascii="Liberation Sans" w:hAnsi="Liberation Sans" w:cs="Liberation Sans" w:eastAsia="Liberation Sans"/>
          <w:b w:val="0"/>
          <w:color w:val="1F2937"/>
          <w:sz w:val="22"/>
        </w:rPr>
        <w:t>Primary emphasis: synthesis of accumulated evidence; impact assessment; major comparative outputs; identification of unresolved research questions; consultation for the next GARC research cycle.</w:t>
      </w:r>
    </w:p>
    <w:p>
      <w:pPr>
        <w:spacing w:after="120" w:line="276" w:lineRule="auto"/>
        <w:jc w:val="left"/>
      </w:pPr>
      <w:r>
        <w:rPr>
          <w:rFonts w:ascii="Liberation Sans" w:hAnsi="Liberation Sans" w:cs="Liberation Sans" w:eastAsia="Liberation Sans"/>
          <w:b w:val="0"/>
          <w:color w:val="1F2937"/>
          <w:sz w:val="22"/>
        </w:rPr>
        <w:t>A GARC Research Agenda 2031–2034 or successor framework should be prepared during 2030.</w:t>
      </w:r>
    </w:p>
    <w:p>
      <w:pPr>
        <w:pStyle w:val="Heading1"/>
        <w:jc w:val="left"/>
        <w:pBdr>
          <w:bottom w:val="single" w:sz="10" w:space="4" w:color="C5A35B"/>
        </w:pBdr>
      </w:pPr>
      <w:r>
        <w:rPr>
          <w:rFonts w:ascii="Liberation Sans" w:hAnsi="Liberation Sans" w:cs="Liberation Sans" w:eastAsia="Liberation Sans"/>
          <w:b/>
          <w:color w:val="0B2D4D"/>
          <w:sz w:val="34"/>
        </w:rPr>
        <w:t>25. Research Performance and Impact Framework</w:t>
      </w:r>
    </w:p>
    <w:p>
      <w:pPr>
        <w:spacing w:after="120" w:line="276" w:lineRule="auto"/>
        <w:jc w:val="left"/>
      </w:pPr>
      <w:r>
        <w:rPr>
          <w:rFonts w:ascii="Liberation Sans" w:hAnsi="Liberation Sans" w:cs="Liberation Sans" w:eastAsia="Liberation Sans"/>
          <w:b w:val="0"/>
          <w:color w:val="1F2937"/>
          <w:sz w:val="22"/>
        </w:rPr>
        <w:t>GARC will monitor both traditional research production and institutional usefulness.</w:t>
      </w:r>
    </w:p>
    <w:p>
      <w:pPr>
        <w:pStyle w:val="Heading2"/>
        <w:jc w:val="left"/>
      </w:pPr>
      <w:r>
        <w:rPr>
          <w:rFonts w:ascii="Liberation Sans" w:hAnsi="Liberation Sans" w:cs="Liberation Sans" w:eastAsia="Liberation Sans"/>
          <w:b/>
          <w:color w:val="174F78"/>
          <w:sz w:val="25"/>
        </w:rPr>
        <w:t>Research Production</w:t>
      </w:r>
    </w:p>
    <w:p>
      <w:pPr>
        <w:spacing w:after="120" w:line="276" w:lineRule="auto"/>
        <w:jc w:val="left"/>
      </w:pPr>
      <w:r>
        <w:rPr>
          <w:rFonts w:ascii="Liberation Sans" w:hAnsi="Liberation Sans" w:cs="Liberation Sans" w:eastAsia="Liberation Sans"/>
          <w:b w:val="0"/>
          <w:color w:val="1F2937"/>
          <w:sz w:val="22"/>
        </w:rPr>
        <w:t>Research projects initiated and completed, evidence syntheses, datasets and publications.</w:t>
      </w:r>
    </w:p>
    <w:p>
      <w:pPr>
        <w:pStyle w:val="Heading2"/>
        <w:jc w:val="left"/>
      </w:pPr>
      <w:r>
        <w:rPr>
          <w:rFonts w:ascii="Liberation Sans" w:hAnsi="Liberation Sans" w:cs="Liberation Sans" w:eastAsia="Liberation Sans"/>
          <w:b/>
          <w:color w:val="174F78"/>
          <w:sz w:val="25"/>
        </w:rPr>
        <w:t>Research Quality</w:t>
      </w:r>
    </w:p>
    <w:p>
      <w:pPr>
        <w:spacing w:after="120" w:line="276" w:lineRule="auto"/>
        <w:jc w:val="left"/>
      </w:pPr>
      <w:r>
        <w:rPr>
          <w:rFonts w:ascii="Liberation Sans" w:hAnsi="Liberation Sans" w:cs="Liberation Sans" w:eastAsia="Liberation Sans"/>
          <w:b w:val="0"/>
          <w:color w:val="1F2937"/>
          <w:sz w:val="22"/>
        </w:rPr>
        <w:t>Methodological compliance, review completion, integrity and ethics adherence.</w:t>
      </w:r>
    </w:p>
    <w:p>
      <w:pPr>
        <w:pStyle w:val="Heading2"/>
        <w:jc w:val="left"/>
      </w:pPr>
      <w:r>
        <w:rPr>
          <w:rFonts w:ascii="Liberation Sans" w:hAnsi="Liberation Sans" w:cs="Liberation Sans" w:eastAsia="Liberation Sans"/>
          <w:b/>
          <w:color w:val="174F78"/>
          <w:sz w:val="25"/>
        </w:rPr>
        <w:t>Portfolio Balance</w:t>
      </w:r>
    </w:p>
    <w:p>
      <w:pPr>
        <w:spacing w:after="120" w:line="276" w:lineRule="auto"/>
        <w:jc w:val="left"/>
      </w:pPr>
      <w:r>
        <w:rPr>
          <w:rFonts w:ascii="Liberation Sans" w:hAnsi="Liberation Sans" w:cs="Liberation Sans" w:eastAsia="Liberation Sans"/>
          <w:b w:val="0"/>
          <w:color w:val="1F2937"/>
          <w:sz w:val="22"/>
        </w:rPr>
        <w:t>Coverage across Research Domains, populations, geographies and life stages.</w:t>
      </w:r>
    </w:p>
    <w:p>
      <w:pPr>
        <w:pStyle w:val="Heading2"/>
        <w:jc w:val="left"/>
      </w:pPr>
      <w:r>
        <w:rPr>
          <w:rFonts w:ascii="Liberation Sans" w:hAnsi="Liberation Sans" w:cs="Liberation Sans" w:eastAsia="Liberation Sans"/>
          <w:b/>
          <w:color w:val="174F78"/>
          <w:sz w:val="25"/>
        </w:rPr>
        <w:t>Participation</w:t>
      </w:r>
    </w:p>
    <w:p>
      <w:pPr>
        <w:spacing w:after="120" w:line="276" w:lineRule="auto"/>
        <w:jc w:val="left"/>
      </w:pPr>
      <w:r>
        <w:rPr>
          <w:rFonts w:ascii="Liberation Sans" w:hAnsi="Liberation Sans" w:cs="Liberation Sans" w:eastAsia="Liberation Sans"/>
          <w:b w:val="0"/>
          <w:color w:val="1F2937"/>
          <w:sz w:val="22"/>
        </w:rPr>
        <w:t>Appropriate involvement of autistic people, families and relevant stakeholders.</w:t>
      </w:r>
    </w:p>
    <w:p>
      <w:pPr>
        <w:pStyle w:val="Heading2"/>
        <w:jc w:val="left"/>
      </w:pPr>
      <w:r>
        <w:rPr>
          <w:rFonts w:ascii="Liberation Sans" w:hAnsi="Liberation Sans" w:cs="Liberation Sans" w:eastAsia="Liberation Sans"/>
          <w:b/>
          <w:color w:val="174F78"/>
          <w:sz w:val="25"/>
        </w:rPr>
        <w:t>Knowledge Translation</w:t>
      </w:r>
    </w:p>
    <w:p>
      <w:pPr>
        <w:spacing w:after="120" w:line="276" w:lineRule="auto"/>
        <w:jc w:val="left"/>
      </w:pPr>
      <w:r>
        <w:rPr>
          <w:rFonts w:ascii="Liberation Sans" w:hAnsi="Liberation Sans" w:cs="Liberation Sans" w:eastAsia="Liberation Sans"/>
          <w:b w:val="0"/>
          <w:color w:val="1F2937"/>
          <w:sz w:val="22"/>
        </w:rPr>
        <w:t>Proportion of research producing decision-ready or implementation-oriented outputs.</w:t>
      </w:r>
    </w:p>
    <w:p>
      <w:pPr>
        <w:pStyle w:val="Heading2"/>
        <w:jc w:val="left"/>
      </w:pPr>
      <w:r>
        <w:rPr>
          <w:rFonts w:ascii="Liberation Sans" w:hAnsi="Liberation Sans" w:cs="Liberation Sans" w:eastAsia="Liberation Sans"/>
          <w:b/>
          <w:color w:val="174F78"/>
          <w:sz w:val="25"/>
        </w:rPr>
        <w:t>Policy and Institutional Use</w:t>
      </w:r>
    </w:p>
    <w:p>
      <w:pPr>
        <w:spacing w:after="120" w:line="276" w:lineRule="auto"/>
        <w:jc w:val="left"/>
      </w:pPr>
      <w:r>
        <w:rPr>
          <w:rFonts w:ascii="Liberation Sans" w:hAnsi="Liberation Sans" w:cs="Liberation Sans" w:eastAsia="Liberation Sans"/>
          <w:b w:val="0"/>
          <w:color w:val="1F2937"/>
          <w:sz w:val="22"/>
        </w:rPr>
        <w:t>Evidence of research being used in organisational, policy, service or strategic discussions.</w:t>
      </w:r>
    </w:p>
    <w:p>
      <w:pPr>
        <w:pStyle w:val="Heading2"/>
        <w:jc w:val="left"/>
      </w:pPr>
      <w:r>
        <w:rPr>
          <w:rFonts w:ascii="Liberation Sans" w:hAnsi="Liberation Sans" w:cs="Liberation Sans" w:eastAsia="Liberation Sans"/>
          <w:b/>
          <w:color w:val="174F78"/>
          <w:sz w:val="25"/>
        </w:rPr>
        <w:t>Collaboration</w:t>
      </w:r>
    </w:p>
    <w:p>
      <w:pPr>
        <w:spacing w:after="120" w:line="276" w:lineRule="auto"/>
        <w:jc w:val="left"/>
      </w:pPr>
      <w:r>
        <w:rPr>
          <w:rFonts w:ascii="Liberation Sans" w:hAnsi="Liberation Sans" w:cs="Liberation Sans" w:eastAsia="Liberation Sans"/>
          <w:b w:val="0"/>
          <w:color w:val="1F2937"/>
          <w:sz w:val="22"/>
        </w:rPr>
        <w:t>Quality and diversity of research collaborations and participating institutions.</w:t>
      </w:r>
    </w:p>
    <w:p>
      <w:pPr>
        <w:pStyle w:val="Heading2"/>
        <w:jc w:val="left"/>
      </w:pPr>
      <w:r>
        <w:rPr>
          <w:rFonts w:ascii="Liberation Sans" w:hAnsi="Liberation Sans" w:cs="Liberation Sans" w:eastAsia="Liberation Sans"/>
          <w:b/>
          <w:color w:val="174F78"/>
          <w:sz w:val="25"/>
        </w:rPr>
        <w:t>Open Knowledge</w:t>
      </w:r>
    </w:p>
    <w:p>
      <w:pPr>
        <w:spacing w:after="120" w:line="276" w:lineRule="auto"/>
        <w:jc w:val="left"/>
      </w:pPr>
      <w:r>
        <w:rPr>
          <w:rFonts w:ascii="Liberation Sans" w:hAnsi="Liberation Sans" w:cs="Liberation Sans" w:eastAsia="Liberation Sans"/>
          <w:b w:val="0"/>
          <w:color w:val="1F2937"/>
          <w:sz w:val="22"/>
        </w:rPr>
        <w:t>Appropriate dissemination and accessibility of research outputs.</w:t>
      </w:r>
    </w:p>
    <w:p>
      <w:pPr>
        <w:pStyle w:val="Heading2"/>
        <w:jc w:val="left"/>
      </w:pPr>
      <w:r>
        <w:rPr>
          <w:rFonts w:ascii="Liberation Sans" w:hAnsi="Liberation Sans" w:cs="Liberation Sans" w:eastAsia="Liberation Sans"/>
          <w:b/>
          <w:color w:val="174F78"/>
          <w:sz w:val="25"/>
        </w:rPr>
        <w:t>Data Maturity</w:t>
      </w:r>
    </w:p>
    <w:p>
      <w:pPr>
        <w:spacing w:after="120" w:line="276" w:lineRule="auto"/>
        <w:jc w:val="left"/>
      </w:pPr>
      <w:r>
        <w:rPr>
          <w:rFonts w:ascii="Liberation Sans" w:hAnsi="Liberation Sans" w:cs="Liberation Sans" w:eastAsia="Liberation Sans"/>
          <w:b w:val="0"/>
          <w:color w:val="1F2937"/>
          <w:sz w:val="22"/>
        </w:rPr>
        <w:t>Growth in comparable data, indicators and research infrastructure.</w:t>
      </w:r>
    </w:p>
    <w:p>
      <w:pPr>
        <w:pStyle w:val="Heading2"/>
        <w:jc w:val="left"/>
      </w:pPr>
      <w:r>
        <w:rPr>
          <w:rFonts w:ascii="Liberation Sans" w:hAnsi="Liberation Sans" w:cs="Liberation Sans" w:eastAsia="Liberation Sans"/>
          <w:b/>
          <w:color w:val="174F78"/>
          <w:sz w:val="25"/>
        </w:rPr>
        <w:t>Responsible Innovation</w:t>
      </w:r>
    </w:p>
    <w:p>
      <w:pPr>
        <w:spacing w:after="120" w:line="276" w:lineRule="auto"/>
        <w:jc w:val="left"/>
      </w:pPr>
      <w:r>
        <w:rPr>
          <w:rFonts w:ascii="Liberation Sans" w:hAnsi="Liberation Sans" w:cs="Liberation Sans" w:eastAsia="Liberation Sans"/>
          <w:b w:val="0"/>
          <w:color w:val="1F2937"/>
          <w:sz w:val="22"/>
        </w:rPr>
        <w:t>Evidence that technology and AI work meets required governance and human-oversight standards.</w:t>
      </w:r>
    </w:p>
    <w:p>
      <w:pPr>
        <w:spacing w:after="120" w:line="276" w:lineRule="auto"/>
        <w:jc w:val="left"/>
      </w:pPr>
      <w:r>
        <w:rPr>
          <w:rFonts w:ascii="Liberation Sans" w:hAnsi="Liberation Sans" w:cs="Liberation Sans" w:eastAsia="Liberation Sans"/>
          <w:b w:val="0"/>
          <w:color w:val="1F2937"/>
          <w:sz w:val="22"/>
        </w:rPr>
        <w:t>Specific numeric annual targets will be established through GARC's operating plans after the initial 2027 baseline is established.</w:t>
      </w:r>
    </w:p>
    <w:p>
      <w:pPr>
        <w:pStyle w:val="Heading1"/>
        <w:jc w:val="left"/>
        <w:pBdr>
          <w:bottom w:val="single" w:sz="10" w:space="4" w:color="C5A35B"/>
        </w:pBdr>
      </w:pPr>
      <w:r>
        <w:rPr>
          <w:rFonts w:ascii="Liberation Sans" w:hAnsi="Liberation Sans" w:cs="Liberation Sans" w:eastAsia="Liberation Sans"/>
          <w:b/>
          <w:color w:val="0B2D4D"/>
          <w:sz w:val="34"/>
        </w:rPr>
        <w:t>26. Agenda Review and Change Control</w:t>
      </w:r>
    </w:p>
    <w:p>
      <w:pPr>
        <w:spacing w:after="120" w:line="276" w:lineRule="auto"/>
        <w:jc w:val="left"/>
      </w:pPr>
      <w:r>
        <w:rPr>
          <w:rFonts w:ascii="Liberation Sans" w:hAnsi="Liberation Sans" w:cs="Liberation Sans" w:eastAsia="Liberation Sans"/>
          <w:b w:val="0"/>
          <w:color w:val="1F2937"/>
          <w:sz w:val="22"/>
        </w:rPr>
        <w:t>This Research Agenda is designed to provide strategic continuity without becoming scientifically static.</w:t>
      </w:r>
    </w:p>
    <w:p>
      <w:pPr>
        <w:pStyle w:val="Heading2"/>
        <w:jc w:val="left"/>
      </w:pPr>
      <w:r>
        <w:rPr>
          <w:rFonts w:ascii="Liberation Sans" w:hAnsi="Liberation Sans" w:cs="Liberation Sans" w:eastAsia="Liberation Sans"/>
          <w:b/>
          <w:color w:val="174F78"/>
          <w:sz w:val="25"/>
        </w:rPr>
        <w:t>Continuous Monitoring</w:t>
      </w:r>
    </w:p>
    <w:p>
      <w:pPr>
        <w:spacing w:after="120" w:line="276" w:lineRule="auto"/>
        <w:jc w:val="left"/>
      </w:pPr>
      <w:r>
        <w:rPr>
          <w:rFonts w:ascii="Liberation Sans" w:hAnsi="Liberation Sans" w:cs="Liberation Sans" w:eastAsia="Liberation Sans"/>
          <w:b w:val="0"/>
          <w:color w:val="1F2937"/>
          <w:sz w:val="22"/>
        </w:rPr>
        <w:t>Emerging evidence, major policy changes, new technologies and important research gaps may be monitored continuously.</w:t>
      </w:r>
    </w:p>
    <w:p>
      <w:pPr>
        <w:pStyle w:val="Heading2"/>
        <w:jc w:val="left"/>
      </w:pPr>
      <w:r>
        <w:rPr>
          <w:rFonts w:ascii="Liberation Sans" w:hAnsi="Liberation Sans" w:cs="Liberation Sans" w:eastAsia="Liberation Sans"/>
          <w:b/>
          <w:color w:val="174F78"/>
          <w:sz w:val="25"/>
        </w:rPr>
        <w:t>Annual Research Review</w:t>
      </w:r>
    </w:p>
    <w:p>
      <w:pPr>
        <w:spacing w:after="120" w:line="276" w:lineRule="auto"/>
        <w:jc w:val="left"/>
      </w:pPr>
      <w:r>
        <w:rPr>
          <w:rFonts w:ascii="Liberation Sans" w:hAnsi="Liberation Sans" w:cs="Liberation Sans" w:eastAsia="Liberation Sans"/>
          <w:b w:val="0"/>
          <w:color w:val="1F2937"/>
          <w:sz w:val="22"/>
        </w:rPr>
        <w:t>Once each year, GARC will review evidence developments; portfolio balance; completed research; unresolved gaps; stakeholder priorities; partnership opportunities; research capacity; and emerging risks.</w:t>
      </w:r>
    </w:p>
    <w:p>
      <w:pPr>
        <w:pStyle w:val="Heading2"/>
        <w:jc w:val="left"/>
      </w:pPr>
      <w:r>
        <w:rPr>
          <w:rFonts w:ascii="Liberation Sans" w:hAnsi="Liberation Sans" w:cs="Liberation Sans" w:eastAsia="Liberation Sans"/>
          <w:b/>
          <w:color w:val="174F78"/>
          <w:sz w:val="25"/>
        </w:rPr>
        <w:t>Formal Mid-Cycle Review</w:t>
      </w:r>
    </w:p>
    <w:p>
      <w:pPr>
        <w:spacing w:after="120" w:line="276" w:lineRule="auto"/>
        <w:jc w:val="left"/>
      </w:pPr>
      <w:r>
        <w:rPr>
          <w:rFonts w:ascii="Liberation Sans" w:hAnsi="Liberation Sans" w:cs="Liberation Sans" w:eastAsia="Liberation Sans"/>
          <w:b w:val="0"/>
          <w:color w:val="1F2937"/>
          <w:sz w:val="22"/>
        </w:rPr>
        <w:t>A formal review will take place during 2028.</w:t>
      </w:r>
    </w:p>
    <w:p>
      <w:pPr>
        <w:spacing w:after="120" w:line="276" w:lineRule="auto"/>
        <w:jc w:val="left"/>
      </w:pPr>
      <w:r>
        <w:rPr>
          <w:rFonts w:ascii="Liberation Sans" w:hAnsi="Liberation Sans" w:cs="Liberation Sans" w:eastAsia="Liberation Sans"/>
          <w:b w:val="0"/>
          <w:color w:val="1F2937"/>
          <w:sz w:val="22"/>
        </w:rPr>
        <w:t>Changes to the seven Research Domains should require strong scientific or strategic justification rather than routine annual revision.</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27. Evidence Basis for the Agenda</w:t>
      </w:r>
    </w:p>
    <w:p>
      <w:pPr>
        <w:spacing w:after="120" w:line="276" w:lineRule="auto"/>
        <w:jc w:val="left"/>
      </w:pPr>
      <w:r>
        <w:rPr>
          <w:rFonts w:ascii="Liberation Sans" w:hAnsi="Liberation Sans" w:cs="Liberation Sans" w:eastAsia="Liberation Sans"/>
          <w:b w:val="0"/>
          <w:color w:val="1F2937"/>
          <w:sz w:val="22"/>
        </w:rPr>
        <w:t>The Agenda is informed by a combination of international autism evidence, community-identified research priorities, global research-planning frameworks, health and service-system needs, regional evidence gaps, GARC's institutional positioning and GRS Group's research and knowledge model.</w:t>
      </w:r>
    </w:p>
    <w:p>
      <w:pPr>
        <w:spacing w:after="120" w:line="276" w:lineRule="auto"/>
        <w:jc w:val="left"/>
      </w:pPr>
      <w:r>
        <w:rPr>
          <w:rFonts w:ascii="Liberation Sans" w:hAnsi="Liberation Sans" w:cs="Liberation Sans" w:eastAsia="Liberation Sans"/>
          <w:b w:val="0"/>
          <w:color w:val="1F2937"/>
          <w:sz w:val="22"/>
        </w:rPr>
        <w:t>Selected reference points include:</w:t>
      </w:r>
    </w:p>
    <w:p>
      <w:pPr>
        <w:pStyle w:val="ListNumber"/>
        <w:spacing w:after="60" w:line="259" w:lineRule="auto"/>
        <w:jc w:val="left"/>
      </w:pPr>
      <w:r>
        <w:rPr>
          <w:rFonts w:ascii="Liberation Sans" w:hAnsi="Liberation Sans" w:cs="Liberation Sans" w:eastAsia="Liberation Sans"/>
          <w:b w:val="0"/>
          <w:color w:val="1F2937"/>
          <w:sz w:val="21"/>
        </w:rPr>
        <w:t>World Health Organization. Autism. Updated 17 September 2025. https://www.who.int/news-room/fact-sheets/detail/autism-spectrum-disorders</w:t>
      </w:r>
    </w:p>
    <w:p>
      <w:pPr>
        <w:pStyle w:val="ListNumber"/>
        <w:spacing w:after="60" w:line="259" w:lineRule="auto"/>
        <w:jc w:val="left"/>
      </w:pPr>
      <w:r>
        <w:rPr>
          <w:rFonts w:ascii="Liberation Sans" w:hAnsi="Liberation Sans" w:cs="Liberation Sans" w:eastAsia="Liberation Sans"/>
          <w:b w:val="0"/>
          <w:color w:val="1F2937"/>
          <w:sz w:val="21"/>
        </w:rPr>
        <w:t>Interagency Autism Coordinating Committee (IACC). 2021–2023 IACC Strategic Plan for Autism Research, Services, and Policy. https://iacc.hhs.gov/publications/strategic-plan/2023/</w:t>
      </w:r>
    </w:p>
    <w:p>
      <w:pPr>
        <w:pStyle w:val="ListNumber"/>
        <w:spacing w:after="60" w:line="259" w:lineRule="auto"/>
        <w:jc w:val="left"/>
      </w:pPr>
      <w:r>
        <w:rPr>
          <w:rFonts w:ascii="Liberation Sans" w:hAnsi="Liberation Sans" w:cs="Liberation Sans" w:eastAsia="Liberation Sans"/>
          <w:b w:val="0"/>
          <w:color w:val="1F2937"/>
          <w:sz w:val="21"/>
        </w:rPr>
        <w:t>Autistica / James Lind Alliance. Your research priorities. https://www.autistica.org.uk/our-research/your-research-priorities</w:t>
      </w:r>
    </w:p>
    <w:p>
      <w:pPr>
        <w:pStyle w:val="ListNumber"/>
        <w:spacing w:after="60" w:line="259" w:lineRule="auto"/>
        <w:jc w:val="left"/>
      </w:pPr>
      <w:r>
        <w:rPr>
          <w:rFonts w:ascii="Liberation Sans" w:hAnsi="Liberation Sans" w:cs="Liberation Sans" w:eastAsia="Liberation Sans"/>
          <w:b w:val="0"/>
          <w:color w:val="1F2937"/>
          <w:sz w:val="21"/>
        </w:rPr>
        <w:t>Akomolafe AF, Abdallah BM, Mahmood FR, et al. Estimates of the prevalence of autism spectrum disorder in the Middle East and North Africa region: A systematic review and Meta-Analysis. BMC Public Health. 2025;25:2519. doi:10.1186/s12889-025-23651-x. https://pubmed.ncbi.nlm.nih.gov/40691829/</w:t>
      </w:r>
    </w:p>
    <w:p>
      <w:pPr>
        <w:spacing w:after="120" w:line="276" w:lineRule="auto"/>
        <w:jc w:val="left"/>
      </w:pPr>
      <w:r>
        <w:rPr>
          <w:rFonts w:ascii="Liberation Sans" w:hAnsi="Liberation Sans" w:cs="Liberation Sans" w:eastAsia="Liberation Sans"/>
          <w:b w:val="0"/>
          <w:color w:val="1F2937"/>
          <w:sz w:val="22"/>
        </w:rPr>
        <w:t>These sources are reference points for the institutional agenda rather than an exhaustive systematic evidence review.</w:t>
      </w:r>
    </w:p>
    <w:p>
      <w:pPr>
        <w:pStyle w:val="Heading1"/>
        <w:jc w:val="left"/>
        <w:pBdr>
          <w:bottom w:val="single" w:sz="10" w:space="4" w:color="C5A35B"/>
        </w:pBdr>
      </w:pPr>
      <w:r>
        <w:rPr>
          <w:rFonts w:ascii="Liberation Sans" w:hAnsi="Liberation Sans" w:cs="Liberation Sans" w:eastAsia="Liberation Sans"/>
          <w:b/>
          <w:color w:val="0B2D4D"/>
          <w:sz w:val="34"/>
        </w:rPr>
        <w:t>28. Institutional Commitment</w:t>
      </w:r>
    </w:p>
    <w:p>
      <w:pPr>
        <w:spacing w:after="120" w:line="276" w:lineRule="auto"/>
        <w:jc w:val="left"/>
      </w:pPr>
      <w:r>
        <w:rPr>
          <w:rFonts w:ascii="Liberation Sans" w:hAnsi="Liberation Sans" w:cs="Liberation Sans" w:eastAsia="Liberation Sans"/>
          <w:b w:val="0"/>
          <w:color w:val="1F2937"/>
          <w:sz w:val="22"/>
        </w:rPr>
        <w:t>Through this Agenda, GARC commits to building an autism research program that is scientifically credible; institutionally useful; ethically governed; internationally connected; culturally responsive; inclusive of lived experience; data-informed; responsible in its use of technology; and designed to move knowledge toward measurable impact.</w:t>
      </w:r>
    </w:p>
    <w:p>
      <w:pPr>
        <w:spacing w:after="120" w:line="276" w:lineRule="auto"/>
        <w:jc w:val="left"/>
      </w:pPr>
      <w:r>
        <w:rPr>
          <w:rFonts w:ascii="Liberation Sans" w:hAnsi="Liberation Sans" w:cs="Liberation Sans" w:eastAsia="Liberation Sans"/>
          <w:b w:val="0"/>
          <w:color w:val="1F2937"/>
          <w:sz w:val="22"/>
        </w:rPr>
        <w:t>GARC will not attempt to compete with every branch of autism science. Its distinctive contribution will be to strengthen the bridge between evidence and decisions; data and understanding; research and policy; knowledge and implementation; innovation and responsible governance.</w:t>
      </w:r>
    </w:p>
    <w:p>
      <w:r>
        <w:br w:type="page"/>
      </w:r>
    </w:p>
    <w:p>
      <w:pPr>
        <w:pStyle w:val="Heading1"/>
        <w:jc w:val="left"/>
        <w:pBdr>
          <w:bottom w:val="single" w:sz="10" w:space="4" w:color="C5A35B"/>
        </w:pBdr>
      </w:pPr>
      <w:r>
        <w:rPr>
          <w:rFonts w:ascii="Liberation Sans" w:hAnsi="Liberation Sans" w:cs="Liberation Sans" w:eastAsia="Liberation Sans"/>
          <w:b/>
          <w:color w:val="0B2D4D"/>
          <w:sz w:val="34"/>
        </w:rPr>
        <w:t>29. Final Strategic Statement</w:t>
      </w:r>
    </w:p>
    <w:p>
      <w:pPr>
        <w:pStyle w:val="Heading2"/>
        <w:jc w:val="left"/>
      </w:pPr>
      <w:r>
        <w:rPr>
          <w:rFonts w:ascii="Liberation Sans" w:hAnsi="Liberation Sans" w:cs="Liberation Sans" w:eastAsia="Liberation Sans"/>
          <w:b/>
          <w:color w:val="174F78"/>
          <w:sz w:val="25"/>
        </w:rPr>
        <w:t>From Information to Decision — and from Decision to Measurable Impact</w:t>
      </w:r>
    </w:p>
    <w:p>
      <w:pPr>
        <w:spacing w:after="120" w:line="276" w:lineRule="auto"/>
        <w:jc w:val="left"/>
      </w:pPr>
      <w:r>
        <w:rPr>
          <w:rFonts w:ascii="Liberation Sans" w:hAnsi="Liberation Sans" w:cs="Liberation Sans" w:eastAsia="Liberation Sans"/>
          <w:b w:val="0"/>
          <w:color w:val="1F2937"/>
          <w:sz w:val="22"/>
        </w:rPr>
        <w:t>The GARC Autism Research Agenda 2027–2030 provides the scientific and strategic foundation for the first fully activated research center within the GRS Group institutional system.</w:t>
      </w:r>
    </w:p>
    <w:p>
      <w:pPr>
        <w:spacing w:after="120" w:line="276" w:lineRule="auto"/>
        <w:jc w:val="left"/>
      </w:pPr>
      <w:r>
        <w:rPr>
          <w:rFonts w:ascii="Liberation Sans" w:hAnsi="Liberation Sans" w:cs="Liberation Sans" w:eastAsia="Liberation Sans"/>
          <w:b w:val="0"/>
          <w:color w:val="1F2937"/>
          <w:sz w:val="22"/>
        </w:rPr>
        <w:t>It establishes a disciplined research portfolio while preserving the flexibility required for scientific development, international collaboration and emerging priorities.</w:t>
      </w:r>
    </w:p>
    <w:p>
      <w:pPr>
        <w:spacing w:after="120" w:line="276" w:lineRule="auto"/>
        <w:jc w:val="left"/>
      </w:pPr>
      <w:r>
        <w:rPr>
          <w:rFonts w:ascii="Liberation Sans" w:hAnsi="Liberation Sans" w:cs="Liberation Sans" w:eastAsia="Liberation Sans"/>
          <w:b w:val="0"/>
          <w:color w:val="1F2937"/>
          <w:sz w:val="22"/>
        </w:rPr>
        <w:t>The Agenda also serves a wider institutional purpose.</w:t>
      </w: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GARC is the First Working Instance.</w:t>
            </w:r>
          </w:p>
        </w:tc>
      </w:tr>
    </w:tbl>
    <w:p>
      <w:pPr>
        <w:spacing w:after="0"/>
      </w:pP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GRS Group is the Shared Operating System.</w:t>
            </w:r>
          </w:p>
        </w:tc>
      </w:tr>
    </w:tbl>
    <w:p>
      <w:pPr>
        <w:spacing w:after="0"/>
      </w:pPr>
    </w:p>
    <w:p>
      <w:pPr>
        <w:spacing w:after="120" w:line="276" w:lineRule="auto"/>
        <w:jc w:val="left"/>
      </w:pPr>
      <w:r>
        <w:rPr>
          <w:rFonts w:ascii="Liberation Sans" w:hAnsi="Liberation Sans" w:cs="Liberation Sans" w:eastAsia="Liberation Sans"/>
          <w:b w:val="0"/>
          <w:color w:val="1F2937"/>
          <w:sz w:val="22"/>
        </w:rPr>
        <w:t>The lessons, workflows, controls and infrastructure validated through GARC will subsequently inform the creation of a repeatable GRS Center Operating Model v1.0 for application across future specialised research centers.</w:t>
      </w:r>
    </w:p>
    <w:tbl>
      <w:tblPr>
        <w:tblW w:type="auto" w:w="0"/>
        <w:jc w:val="left"/>
        <w:tblLook w:firstColumn="1" w:firstRow="1" w:lastColumn="0" w:lastRow="0" w:noHBand="0" w:noVBand="1" w:val="04A0"/>
      </w:tblPr>
      <w:tblGrid>
        <w:gridCol w:w="9792"/>
      </w:tblGrid>
      <w:tr>
        <w:tc>
          <w:tcPr>
            <w:tcW w:type="dxa" w:w="9792"/>
            <w:shd w:fill="F4EFE3"/>
            <w:tcMar>
              <w:top w:w="160" w:type="dxa"/>
              <w:start w:w="180" w:type="dxa"/>
              <w:bottom w:w="160" w:type="dxa"/>
              <w:end w:w="180" w:type="dxa"/>
            </w:tcMar>
            <w:tcBorders>
              <w:top w:sz="0" w:val="nil" w:color="FFFFFF"/>
              <w:left w:sz="24" w:val="single" w:color="C5A35B"/>
              <w:bottom w:sz="0" w:val="nil" w:color="FFFFFF"/>
              <w:right w:sz="0" w:val="nil" w:color="FFFFFF"/>
            </w:tcBorders>
          </w:tcPr>
          <w:p>
            <w:pPr>
              <w:spacing w:after="0"/>
              <w:jc w:val="left"/>
            </w:pPr>
            <w:r>
              <w:rPr>
                <w:rFonts w:ascii="Liberation Sans" w:hAnsi="Liberation Sans" w:cs="Liberation Sans" w:eastAsia="Liberation Sans"/>
                <w:b w:val="0"/>
                <w:color w:val="0B2D4D"/>
                <w:sz w:val="23"/>
              </w:rPr>
              <w:t>Global Autism Research Center</w:t>
            </w:r>
          </w:p>
        </w:tc>
      </w:tr>
    </w:tbl>
    <w:p>
      <w:pPr>
        <w:spacing w:after="0"/>
      </w:pPr>
    </w:p>
    <w:p>
      <w:pPr>
        <w:spacing w:after="120" w:line="276" w:lineRule="auto"/>
        <w:jc w:val="left"/>
      </w:pPr>
      <w:r>
        <w:rPr>
          <w:rFonts w:ascii="Liberation Sans" w:hAnsi="Liberation Sans" w:cs="Liberation Sans" w:eastAsia="Liberation Sans"/>
          <w:b w:val="0"/>
          <w:color w:val="1F2937"/>
          <w:sz w:val="22"/>
        </w:rPr>
        <w:t>Research • Data • Policy • AI • Institutional Impact</w:t>
      </w:r>
    </w:p>
    <w:p>
      <w:pPr>
        <w:spacing w:after="120" w:line="276" w:lineRule="auto"/>
        <w:jc w:val="left"/>
      </w:pPr>
      <w:r>
        <w:rPr>
          <w:rFonts w:ascii="Liberation Sans" w:hAnsi="Liberation Sans" w:cs="Liberation Sans" w:eastAsia="Liberation Sans"/>
          <w:b w:val="0"/>
          <w:color w:val="1F2937"/>
          <w:sz w:val="22"/>
        </w:rPr>
        <w:t>Operating within Global Research &amp; Strategy Group</w:t>
      </w:r>
    </w:p>
    <w:sectPr w:rsidR="00FC693F" w:rsidRPr="0006063C" w:rsidSect="00034616">
      <w:headerReference w:type="default" r:id="rId9"/>
      <w:footerReference w:type="default" r:id="rId10"/>
      <w:pgSz w:w="12240" w:h="15840"/>
      <w:pgMar w:top="936" w:right="1224" w:bottom="936"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896"/>
      <w:gridCol w:w="4896"/>
    </w:tblGrid>
    <w:tr>
      <w:tc>
        <w:tcPr>
          <w:tcW w:type="dxa" w:w="4896"/>
        </w:tcPr>
        <w:p>
          <w:pPr>
            <w:jc w:val="left"/>
          </w:pPr>
          <w:r>
            <w:rPr>
              <w:rFonts w:ascii="Liberation Sans" w:hAnsi="Liberation Sans" w:cs="Liberation Sans" w:eastAsia="Liberation Sans"/>
              <w:b w:val="0"/>
              <w:color w:val="6B7280"/>
              <w:sz w:val="16"/>
            </w:rPr>
            <w:t>Final Institutional Version • v1.0</w:t>
          </w:r>
        </w:p>
      </w:tc>
      <w:tc>
        <w:tcPr>
          <w:tcW w:type="dxa" w:w="4896"/>
        </w:tcPr>
        <w:p>
          <w:pPr>
            <w:jc w:val="right"/>
          </w:pPr>
          <w:r>
            <w:rPr>
              <w:rFonts w:ascii="Liberation Sans" w:hAnsi="Liberation Sans" w:cs="Liberation Sans" w:eastAsia="Liberation Sans"/>
              <w:b w:val="0"/>
              <w:color w:val="6B7280"/>
              <w:sz w:val="16"/>
            </w:rPr>
            <w:t xml:space="preserve">Page </w:t>
          </w:r>
          <w:r>
            <w:rPr>
              <w:rFonts w:ascii="Liberation Sans" w:hAnsi="Liberation Sans" w:cs="Liberation Sans" w:eastAsia="Liberation Sans"/>
              <w:b w:val="0"/>
              <w:color w:val="6B7280"/>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C5A35B"/>
      </w:pBdr>
    </w:pPr>
    <w:r>
      <w:rPr>
        <w:rFonts w:ascii="Liberation Sans" w:hAnsi="Liberation Sans" w:cs="Liberation Sans" w:eastAsia="Liberation Sans"/>
        <w:b/>
        <w:color w:val="0B2D4D"/>
        <w:sz w:val="17"/>
      </w:rPr>
      <w:t>GARC | Autism Research Agenda 2027–2030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cs="Liberation Sans" w:eastAsia="Liberation Sans"/>
      <w:b/>
      <w:bCs/>
      <w:color w:val="0B2D4D"/>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cs="Liberation Sans" w:eastAsia="Liberation Sans"/>
      <w:b/>
      <w:bCs/>
      <w:color w:val="174F7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cs="Liberation Sans" w:eastAsia="Liberation San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s="Liberation Sans" w:eastAsia="Liberation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cs="Liberation Sans" w:eastAsia="Liberation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GARC Autism Research Agenda 2027–2030</dc:title>
  <dc:subject>Final Institutional Version v1.0</dc:subject>
  <dc:creator>Global Autism Research Center (GARC)</dc:creator>
  <cp:keywords>GARC, autism, research agenda, GRS Group, 2027-2030</cp:keywords>
  <dc:description>generated by python-docx</dc:description>
  <cp:lastModifiedBy/>
  <cp:revision>1</cp:revision>
  <dcterms:created xsi:type="dcterms:W3CDTF">2013-12-23T23:15:00Z</dcterms:created>
  <dcterms:modified xsi:type="dcterms:W3CDTF">2013-12-23T23:15:00Z</dcterms:modified>
  <cp:category/>
</cp:coreProperties>
</file>